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sz w:val="32"/>
          <w:szCs w:val="32"/>
        </w:rPr>
      </w:pPr>
      <w:r>
        <w:rPr>
          <w:rFonts w:hint="eastAsia"/>
          <w:sz w:val="32"/>
          <w:szCs w:val="32"/>
        </w:rPr>
        <w:t>附：</w:t>
      </w:r>
      <w:r>
        <w:rPr>
          <w:rFonts w:hint="eastAsia"/>
          <w:sz w:val="32"/>
          <w:szCs w:val="32"/>
          <w:lang w:eastAsia="zh-CN"/>
        </w:rPr>
        <w:t>交通</w:t>
      </w:r>
      <w:r>
        <w:rPr>
          <w:rFonts w:hint="eastAsia"/>
          <w:sz w:val="32"/>
          <w:szCs w:val="32"/>
        </w:rPr>
        <w:t>银行泉州分行产品情况简介及操作案例摘编</w:t>
      </w:r>
    </w:p>
    <w:p>
      <w:pPr>
        <w:rPr>
          <w:rFonts w:hint="eastAsia"/>
        </w:rPr>
      </w:pPr>
    </w:p>
    <w:p>
      <w:pPr>
        <w:jc w:val="center"/>
        <w:rPr>
          <w:rFonts w:hint="eastAsia"/>
          <w:b/>
          <w:bCs/>
          <w:sz w:val="44"/>
          <w:szCs w:val="44"/>
        </w:rPr>
      </w:pPr>
      <w:bookmarkStart w:id="0" w:name="_GoBack"/>
      <w:bookmarkEnd w:id="0"/>
    </w:p>
    <w:p>
      <w:pPr>
        <w:jc w:val="center"/>
      </w:pPr>
      <w:r>
        <w:rPr>
          <w:rFonts w:hint="eastAsia"/>
          <w:b/>
          <w:bCs/>
          <w:sz w:val="44"/>
          <w:szCs w:val="44"/>
        </w:rPr>
        <w:t>交通银行泉州分行</w:t>
      </w:r>
    </w:p>
    <w:tbl>
      <w:tblPr>
        <w:tblStyle w:val="2"/>
        <w:tblW w:w="14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370"/>
        <w:gridCol w:w="3368"/>
        <w:gridCol w:w="2917"/>
        <w:gridCol w:w="3218"/>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7" w:type="dxa"/>
          </w:tcPr>
          <w:p>
            <w:pPr>
              <w:adjustRightInd w:val="0"/>
              <w:snapToGrid w:val="0"/>
              <w:jc w:val="center"/>
              <w:rPr>
                <w:rFonts w:hint="eastAsia" w:ascii="宋体" w:hAnsi="宋体" w:cs="宋体"/>
                <w:sz w:val="24"/>
                <w:szCs w:val="24"/>
              </w:rPr>
            </w:pPr>
            <w:r>
              <w:rPr>
                <w:rFonts w:hint="eastAsia" w:ascii="宋体" w:hAnsi="宋体" w:cs="宋体"/>
                <w:b/>
                <w:bCs/>
                <w:sz w:val="24"/>
                <w:szCs w:val="24"/>
              </w:rPr>
              <w:t>产品名称</w:t>
            </w:r>
          </w:p>
        </w:tc>
        <w:tc>
          <w:tcPr>
            <w:tcW w:w="2370" w:type="dxa"/>
          </w:tcPr>
          <w:p>
            <w:pPr>
              <w:adjustRightInd w:val="0"/>
              <w:snapToGrid w:val="0"/>
              <w:jc w:val="center"/>
              <w:rPr>
                <w:rFonts w:hint="eastAsia" w:ascii="宋体" w:hAnsi="宋体" w:cs="宋体"/>
                <w:sz w:val="24"/>
                <w:szCs w:val="24"/>
              </w:rPr>
            </w:pPr>
            <w:r>
              <w:rPr>
                <w:rFonts w:hint="eastAsia" w:ascii="宋体" w:hAnsi="宋体" w:cs="宋体"/>
                <w:b/>
                <w:bCs/>
                <w:sz w:val="24"/>
                <w:szCs w:val="24"/>
              </w:rPr>
              <w:t>产品概况</w:t>
            </w:r>
          </w:p>
        </w:tc>
        <w:tc>
          <w:tcPr>
            <w:tcW w:w="3368" w:type="dxa"/>
          </w:tcPr>
          <w:p>
            <w:pPr>
              <w:adjustRightInd w:val="0"/>
              <w:snapToGrid w:val="0"/>
              <w:jc w:val="center"/>
              <w:rPr>
                <w:rFonts w:hint="eastAsia" w:ascii="宋体" w:hAnsi="宋体" w:cs="宋体"/>
                <w:sz w:val="24"/>
                <w:szCs w:val="24"/>
              </w:rPr>
            </w:pPr>
            <w:r>
              <w:rPr>
                <w:rFonts w:hint="eastAsia" w:ascii="宋体" w:hAnsi="宋体" w:cs="宋体"/>
                <w:b/>
                <w:bCs/>
                <w:sz w:val="24"/>
                <w:szCs w:val="24"/>
              </w:rPr>
              <w:t>产品要素</w:t>
            </w:r>
          </w:p>
        </w:tc>
        <w:tc>
          <w:tcPr>
            <w:tcW w:w="2917" w:type="dxa"/>
          </w:tcPr>
          <w:p>
            <w:pPr>
              <w:adjustRightInd w:val="0"/>
              <w:snapToGrid w:val="0"/>
              <w:jc w:val="center"/>
              <w:rPr>
                <w:rFonts w:hint="eastAsia" w:ascii="宋体" w:hAnsi="宋体" w:cs="宋体"/>
                <w:sz w:val="24"/>
                <w:szCs w:val="24"/>
              </w:rPr>
            </w:pPr>
            <w:r>
              <w:rPr>
                <w:rFonts w:hint="eastAsia" w:ascii="宋体" w:hAnsi="宋体" w:cs="宋体"/>
                <w:b/>
                <w:bCs/>
                <w:sz w:val="24"/>
                <w:szCs w:val="24"/>
              </w:rPr>
              <w:t>产品优势</w:t>
            </w:r>
          </w:p>
        </w:tc>
        <w:tc>
          <w:tcPr>
            <w:tcW w:w="3218" w:type="dxa"/>
          </w:tcPr>
          <w:p>
            <w:pPr>
              <w:adjustRightInd w:val="0"/>
              <w:snapToGrid w:val="0"/>
              <w:jc w:val="center"/>
              <w:rPr>
                <w:rFonts w:hint="eastAsia" w:ascii="宋体" w:hAnsi="宋体" w:cs="宋体"/>
                <w:sz w:val="24"/>
                <w:szCs w:val="24"/>
              </w:rPr>
            </w:pPr>
            <w:r>
              <w:rPr>
                <w:rFonts w:hint="eastAsia" w:ascii="宋体" w:hAnsi="宋体" w:cs="宋体"/>
                <w:b/>
                <w:bCs/>
                <w:sz w:val="24"/>
                <w:szCs w:val="24"/>
              </w:rPr>
              <w:t>业务流程</w:t>
            </w:r>
          </w:p>
        </w:tc>
        <w:tc>
          <w:tcPr>
            <w:tcW w:w="1612" w:type="dxa"/>
          </w:tcPr>
          <w:p>
            <w:pPr>
              <w:adjustRightInd w:val="0"/>
              <w:snapToGrid w:val="0"/>
              <w:jc w:val="center"/>
              <w:rPr>
                <w:rFonts w:hint="eastAsia" w:ascii="宋体" w:hAnsi="宋体" w:cs="宋体"/>
                <w:sz w:val="24"/>
                <w:szCs w:val="24"/>
              </w:rPr>
            </w:pPr>
            <w:r>
              <w:rPr>
                <w:rFonts w:hint="eastAsia" w:ascii="宋体" w:hAnsi="宋体" w:cs="宋体"/>
                <w:b/>
                <w:bCs/>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7" w:type="dxa"/>
          </w:tcPr>
          <w:p>
            <w:pPr>
              <w:adjustRightInd w:val="0"/>
              <w:snapToGrid w:val="0"/>
              <w:jc w:val="center"/>
              <w:rPr>
                <w:rFonts w:hint="eastAsia" w:ascii="宋体" w:hAnsi="宋体" w:cs="宋体"/>
                <w:sz w:val="24"/>
                <w:szCs w:val="24"/>
              </w:rPr>
            </w:pPr>
            <w:r>
              <w:rPr>
                <w:rFonts w:hint="eastAsia" w:ascii="宋体" w:hAnsi="宋体" w:cs="宋体"/>
                <w:sz w:val="24"/>
                <w:szCs w:val="24"/>
              </w:rPr>
              <w:t>线上税融通（企业版、个人版）</w:t>
            </w:r>
          </w:p>
        </w:tc>
        <w:tc>
          <w:tcPr>
            <w:tcW w:w="2370" w:type="dxa"/>
          </w:tcPr>
          <w:p>
            <w:pPr>
              <w:adjustRightInd w:val="0"/>
              <w:snapToGrid w:val="0"/>
              <w:jc w:val="left"/>
              <w:rPr>
                <w:rFonts w:hint="eastAsia" w:ascii="宋体" w:hAnsi="宋体" w:cs="宋体"/>
                <w:sz w:val="24"/>
                <w:szCs w:val="24"/>
              </w:rPr>
            </w:pPr>
            <w:r>
              <w:rPr>
                <w:rFonts w:hint="eastAsia" w:ascii="宋体" w:hAnsi="宋体" w:cs="宋体"/>
                <w:sz w:val="24"/>
                <w:szCs w:val="24"/>
              </w:rPr>
              <w:t>针对符合交行准入标准的借款人，以其经营实体在税务机关申报、记录的纳税数据作为额度核算主要依据，运用数据分析技术进行分析评价，向其发放的用于经营实体日常周转的小微企业授信业务。</w:t>
            </w:r>
          </w:p>
        </w:tc>
        <w:tc>
          <w:tcPr>
            <w:tcW w:w="3368" w:type="dxa"/>
          </w:tcPr>
          <w:p>
            <w:pPr>
              <w:adjustRightInd w:val="0"/>
              <w:snapToGrid w:val="0"/>
              <w:jc w:val="left"/>
              <w:rPr>
                <w:rFonts w:hint="eastAsia" w:ascii="宋体" w:hAnsi="宋体" w:cs="宋体"/>
                <w:sz w:val="24"/>
                <w:szCs w:val="24"/>
              </w:rPr>
            </w:pPr>
            <w:r>
              <w:rPr>
                <w:rFonts w:hint="eastAsia" w:ascii="宋体" w:hAnsi="宋体" w:cs="宋体"/>
                <w:sz w:val="24"/>
                <w:szCs w:val="24"/>
              </w:rPr>
              <w:t>1.授信额度：最高200万。</w:t>
            </w:r>
          </w:p>
          <w:p>
            <w:pPr>
              <w:adjustRightInd w:val="0"/>
              <w:snapToGrid w:val="0"/>
              <w:jc w:val="left"/>
              <w:rPr>
                <w:rFonts w:hint="eastAsia" w:ascii="宋体" w:hAnsi="宋体" w:cs="宋体"/>
                <w:sz w:val="24"/>
                <w:szCs w:val="24"/>
              </w:rPr>
            </w:pPr>
            <w:r>
              <w:rPr>
                <w:rFonts w:hint="eastAsia" w:ascii="宋体" w:hAnsi="宋体" w:cs="宋体"/>
                <w:sz w:val="24"/>
                <w:szCs w:val="24"/>
              </w:rPr>
              <w:t>2.授信期限：存量客户期限2年，单笔期限1年；新客户期限1年，单笔期限6个月。</w:t>
            </w:r>
          </w:p>
          <w:p>
            <w:pPr>
              <w:adjustRightInd w:val="0"/>
              <w:snapToGrid w:val="0"/>
              <w:jc w:val="left"/>
              <w:rPr>
                <w:rFonts w:hint="eastAsia" w:ascii="宋体" w:hAnsi="宋体" w:cs="宋体"/>
                <w:sz w:val="24"/>
                <w:szCs w:val="24"/>
              </w:rPr>
            </w:pPr>
            <w:r>
              <w:rPr>
                <w:rFonts w:hint="eastAsia" w:ascii="宋体" w:hAnsi="宋体" w:cs="宋体"/>
                <w:sz w:val="24"/>
                <w:szCs w:val="24"/>
              </w:rPr>
              <w:t>3.授信利率：4.0%-6.3%。</w:t>
            </w:r>
          </w:p>
          <w:p>
            <w:pPr>
              <w:adjustRightInd w:val="0"/>
              <w:snapToGrid w:val="0"/>
              <w:jc w:val="left"/>
              <w:rPr>
                <w:rFonts w:hint="eastAsia" w:ascii="宋体" w:hAnsi="宋体" w:cs="宋体"/>
                <w:sz w:val="24"/>
                <w:szCs w:val="24"/>
              </w:rPr>
            </w:pPr>
            <w:r>
              <w:rPr>
                <w:rFonts w:hint="eastAsia" w:ascii="宋体" w:hAnsi="宋体" w:cs="宋体"/>
                <w:sz w:val="24"/>
                <w:szCs w:val="24"/>
              </w:rPr>
              <w:t>4.纳税等级：B。</w:t>
            </w:r>
          </w:p>
          <w:p>
            <w:pPr>
              <w:adjustRightInd w:val="0"/>
              <w:snapToGrid w:val="0"/>
              <w:jc w:val="left"/>
              <w:rPr>
                <w:rFonts w:hint="eastAsia" w:ascii="宋体" w:hAnsi="宋体" w:cs="宋体"/>
                <w:sz w:val="24"/>
                <w:szCs w:val="24"/>
              </w:rPr>
            </w:pPr>
            <w:r>
              <w:rPr>
                <w:rFonts w:hint="eastAsia" w:ascii="宋体" w:hAnsi="宋体" w:cs="宋体"/>
                <w:sz w:val="24"/>
                <w:szCs w:val="24"/>
              </w:rPr>
              <w:t>5.担保方式：信用担保。</w:t>
            </w:r>
          </w:p>
          <w:p>
            <w:pPr>
              <w:adjustRightInd w:val="0"/>
              <w:snapToGrid w:val="0"/>
              <w:jc w:val="left"/>
              <w:rPr>
                <w:rFonts w:hint="eastAsia" w:ascii="宋体" w:hAnsi="宋体" w:cs="宋体"/>
                <w:sz w:val="24"/>
                <w:szCs w:val="24"/>
              </w:rPr>
            </w:pPr>
            <w:r>
              <w:rPr>
                <w:rFonts w:hint="eastAsia" w:ascii="宋体" w:hAnsi="宋体" w:cs="宋体"/>
                <w:sz w:val="24"/>
                <w:szCs w:val="24"/>
              </w:rPr>
              <w:t>6.还款方式：线上随借随还、按月付息、到期还本。</w:t>
            </w:r>
          </w:p>
        </w:tc>
        <w:tc>
          <w:tcPr>
            <w:tcW w:w="2917" w:type="dxa"/>
          </w:tcPr>
          <w:p>
            <w:pPr>
              <w:adjustRightInd w:val="0"/>
              <w:snapToGrid w:val="0"/>
              <w:jc w:val="left"/>
              <w:rPr>
                <w:rFonts w:hint="eastAsia" w:ascii="宋体" w:hAnsi="宋体" w:cs="宋体"/>
                <w:sz w:val="24"/>
                <w:szCs w:val="24"/>
              </w:rPr>
            </w:pPr>
            <w:r>
              <w:rPr>
                <w:rFonts w:hint="eastAsia" w:ascii="宋体" w:hAnsi="宋体" w:cs="宋体"/>
                <w:sz w:val="24"/>
                <w:szCs w:val="24"/>
              </w:rPr>
              <w:t>1.无须担保：纯信用、无须抵押。</w:t>
            </w:r>
          </w:p>
          <w:p>
            <w:pPr>
              <w:adjustRightInd w:val="0"/>
              <w:snapToGrid w:val="0"/>
              <w:jc w:val="left"/>
              <w:rPr>
                <w:rFonts w:hint="eastAsia" w:ascii="宋体" w:hAnsi="宋体" w:cs="宋体"/>
                <w:sz w:val="24"/>
                <w:szCs w:val="24"/>
              </w:rPr>
            </w:pPr>
            <w:r>
              <w:rPr>
                <w:rFonts w:hint="eastAsia" w:ascii="宋体" w:hAnsi="宋体" w:cs="宋体"/>
                <w:sz w:val="24"/>
                <w:szCs w:val="24"/>
              </w:rPr>
              <w:t>2.全程在线：申请</w:t>
            </w:r>
            <w:r>
              <w:rPr>
                <w:rFonts w:hint="eastAsia" w:ascii="宋体" w:hAnsi="宋体" w:cs="宋体"/>
                <w:sz w:val="24"/>
                <w:szCs w:val="24"/>
              </w:rPr>
              <w:sym w:font="Times New Roman" w:char="0000"/>
            </w:r>
            <w:r>
              <w:rPr>
                <w:rFonts w:hint="eastAsia" w:ascii="宋体" w:hAnsi="宋体" w:cs="宋体"/>
                <w:sz w:val="24"/>
                <w:szCs w:val="24"/>
              </w:rPr>
              <w:t>签约</w:t>
            </w:r>
            <w:r>
              <w:rPr>
                <w:rFonts w:hint="eastAsia" w:ascii="宋体" w:hAnsi="宋体" w:cs="宋体"/>
                <w:sz w:val="24"/>
                <w:szCs w:val="24"/>
              </w:rPr>
              <w:sym w:font="Times New Roman" w:char="0000"/>
            </w:r>
            <w:r>
              <w:rPr>
                <w:rFonts w:hint="eastAsia" w:ascii="宋体" w:hAnsi="宋体" w:cs="宋体"/>
                <w:sz w:val="24"/>
                <w:szCs w:val="24"/>
              </w:rPr>
              <w:t>提款全程网上完成。</w:t>
            </w:r>
          </w:p>
          <w:p>
            <w:pPr>
              <w:adjustRightInd w:val="0"/>
              <w:snapToGrid w:val="0"/>
              <w:jc w:val="left"/>
              <w:rPr>
                <w:rFonts w:hint="eastAsia" w:ascii="宋体" w:hAnsi="宋体" w:cs="宋体"/>
                <w:sz w:val="24"/>
                <w:szCs w:val="24"/>
              </w:rPr>
            </w:pPr>
            <w:r>
              <w:rPr>
                <w:rFonts w:hint="eastAsia" w:ascii="宋体" w:hAnsi="宋体" w:cs="宋体"/>
                <w:sz w:val="24"/>
                <w:szCs w:val="24"/>
              </w:rPr>
              <w:t>3.款项速提：全程系统审批，实时到账。</w:t>
            </w:r>
          </w:p>
          <w:p>
            <w:pPr>
              <w:adjustRightInd w:val="0"/>
              <w:snapToGrid w:val="0"/>
              <w:jc w:val="left"/>
              <w:rPr>
                <w:rFonts w:hint="eastAsia" w:ascii="宋体" w:hAnsi="宋体" w:cs="宋体"/>
                <w:sz w:val="24"/>
                <w:szCs w:val="24"/>
              </w:rPr>
            </w:pPr>
            <w:r>
              <w:rPr>
                <w:rFonts w:hint="eastAsia" w:ascii="宋体" w:hAnsi="宋体" w:cs="宋体"/>
                <w:sz w:val="24"/>
                <w:szCs w:val="24"/>
              </w:rPr>
              <w:t>4.额度够高：单户最高可达200万元。</w:t>
            </w:r>
          </w:p>
          <w:p>
            <w:pPr>
              <w:adjustRightInd w:val="0"/>
              <w:snapToGrid w:val="0"/>
              <w:jc w:val="left"/>
              <w:rPr>
                <w:rFonts w:hint="eastAsia" w:ascii="宋体" w:hAnsi="宋体" w:cs="宋体"/>
                <w:sz w:val="24"/>
                <w:szCs w:val="24"/>
              </w:rPr>
            </w:pPr>
            <w:r>
              <w:rPr>
                <w:rFonts w:hint="eastAsia" w:ascii="宋体" w:hAnsi="宋体" w:cs="宋体"/>
                <w:sz w:val="24"/>
                <w:szCs w:val="24"/>
              </w:rPr>
              <w:t>5.使用方便：贷款资金直接打到您的经营账户，有效期内额度循环使用、随借随还。</w:t>
            </w:r>
          </w:p>
        </w:tc>
        <w:tc>
          <w:tcPr>
            <w:tcW w:w="3218" w:type="dxa"/>
          </w:tcPr>
          <w:p>
            <w:pPr>
              <w:adjustRightInd w:val="0"/>
              <w:snapToGrid w:val="0"/>
              <w:jc w:val="left"/>
              <w:rPr>
                <w:rFonts w:hint="eastAsia" w:ascii="宋体" w:hAnsi="宋体" w:cs="宋体"/>
                <w:sz w:val="24"/>
                <w:szCs w:val="24"/>
              </w:rPr>
            </w:pPr>
            <w:r>
              <w:rPr>
                <w:rFonts w:hint="eastAsia" w:ascii="宋体" w:hAnsi="宋体" w:cs="宋体"/>
                <w:sz w:val="24"/>
                <w:szCs w:val="24"/>
              </w:rPr>
              <w:t>通过交行及相关渠道申请线上税融通；申请通过后客户经理上门核实，客户前往交行开立账户及网上银行，额度生效后自主提款支付。</w:t>
            </w:r>
          </w:p>
        </w:tc>
        <w:tc>
          <w:tcPr>
            <w:tcW w:w="1612" w:type="dxa"/>
          </w:tcPr>
          <w:p>
            <w:pPr>
              <w:adjustRightInd w:val="0"/>
              <w:snapToGrid w:val="0"/>
              <w:jc w:val="left"/>
              <w:rPr>
                <w:rFonts w:hint="eastAsia" w:ascii="宋体" w:hAnsi="宋体" w:cs="宋体"/>
                <w:sz w:val="24"/>
                <w:szCs w:val="24"/>
              </w:rPr>
            </w:pPr>
            <w:r>
              <w:rPr>
                <w:rFonts w:hint="eastAsia" w:ascii="宋体" w:hAnsi="宋体" w:cs="宋体"/>
                <w:sz w:val="24"/>
                <w:szCs w:val="24"/>
              </w:rPr>
              <w:t>交通银行泉州分行：陈军  18259500055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7" w:type="dxa"/>
          </w:tcPr>
          <w:p>
            <w:pPr>
              <w:adjustRightInd w:val="0"/>
              <w:snapToGrid w:val="0"/>
              <w:jc w:val="center"/>
              <w:rPr>
                <w:rFonts w:hint="eastAsia" w:ascii="宋体" w:hAnsi="宋体" w:cs="宋体"/>
                <w:sz w:val="24"/>
                <w:szCs w:val="24"/>
              </w:rPr>
            </w:pPr>
            <w:r>
              <w:rPr>
                <w:rFonts w:hint="eastAsia" w:ascii="宋体" w:hAnsi="宋体" w:cs="宋体"/>
                <w:sz w:val="24"/>
                <w:szCs w:val="24"/>
              </w:rPr>
              <w:t>线上抵押贷</w:t>
            </w:r>
          </w:p>
        </w:tc>
        <w:tc>
          <w:tcPr>
            <w:tcW w:w="2370" w:type="dxa"/>
          </w:tcPr>
          <w:p>
            <w:pPr>
              <w:adjustRightInd w:val="0"/>
              <w:snapToGrid w:val="0"/>
              <w:jc w:val="left"/>
              <w:rPr>
                <w:rFonts w:hint="eastAsia" w:ascii="宋体" w:hAnsi="宋体" w:cs="宋体"/>
                <w:sz w:val="24"/>
                <w:szCs w:val="24"/>
              </w:rPr>
            </w:pPr>
            <w:r>
              <w:rPr>
                <w:rFonts w:hint="eastAsia" w:ascii="宋体" w:hAnsi="宋体" w:cs="宋体"/>
                <w:sz w:val="24"/>
                <w:szCs w:val="24"/>
              </w:rPr>
              <w:t>针对符合交行准入标准的借款人，及其提供的交行认可的满足线上评估条件的抵押物采用“线上评估授信审批+线下标准化核实调查”相结合的方式,将房产评估、授信申请、额度审批环节线上完成，抵押物核实、贷前调查、合同签订、抵押办理环节线下办理，贷后管理线上线下相结合的小微客户授信业务。</w:t>
            </w:r>
          </w:p>
        </w:tc>
        <w:tc>
          <w:tcPr>
            <w:tcW w:w="3368" w:type="dxa"/>
          </w:tcPr>
          <w:p>
            <w:pPr>
              <w:adjustRightInd w:val="0"/>
              <w:snapToGrid w:val="0"/>
              <w:jc w:val="left"/>
              <w:rPr>
                <w:rFonts w:hint="eastAsia" w:ascii="宋体" w:hAnsi="宋体" w:cs="宋体"/>
                <w:sz w:val="24"/>
                <w:szCs w:val="24"/>
              </w:rPr>
            </w:pPr>
            <w:r>
              <w:rPr>
                <w:rFonts w:hint="eastAsia" w:ascii="宋体" w:hAnsi="宋体" w:cs="宋体"/>
                <w:sz w:val="24"/>
                <w:szCs w:val="24"/>
              </w:rPr>
              <w:t>1.授信额度：最高1000万。</w:t>
            </w:r>
          </w:p>
          <w:p>
            <w:pPr>
              <w:adjustRightInd w:val="0"/>
              <w:snapToGrid w:val="0"/>
              <w:jc w:val="left"/>
              <w:rPr>
                <w:rFonts w:hint="eastAsia" w:ascii="宋体" w:hAnsi="宋体" w:cs="宋体"/>
                <w:sz w:val="24"/>
                <w:szCs w:val="24"/>
              </w:rPr>
            </w:pPr>
            <w:r>
              <w:rPr>
                <w:rFonts w:hint="eastAsia" w:ascii="宋体" w:hAnsi="宋体" w:cs="宋体"/>
                <w:sz w:val="24"/>
                <w:szCs w:val="24"/>
              </w:rPr>
              <w:t>2.授信期限：最高10年，单笔期限最高3年。</w:t>
            </w:r>
          </w:p>
          <w:p>
            <w:pPr>
              <w:adjustRightInd w:val="0"/>
              <w:snapToGrid w:val="0"/>
              <w:jc w:val="left"/>
              <w:rPr>
                <w:rFonts w:hint="eastAsia" w:ascii="宋体" w:hAnsi="宋体" w:cs="宋体"/>
                <w:sz w:val="24"/>
                <w:szCs w:val="24"/>
              </w:rPr>
            </w:pPr>
            <w:r>
              <w:rPr>
                <w:rFonts w:hint="eastAsia" w:ascii="宋体" w:hAnsi="宋体" w:cs="宋体"/>
                <w:sz w:val="24"/>
                <w:szCs w:val="24"/>
              </w:rPr>
              <w:t>3.授信利率：5.0025%。</w:t>
            </w:r>
          </w:p>
          <w:p>
            <w:pPr>
              <w:adjustRightInd w:val="0"/>
              <w:snapToGrid w:val="0"/>
              <w:jc w:val="left"/>
              <w:rPr>
                <w:rFonts w:hint="eastAsia" w:ascii="宋体" w:hAnsi="宋体" w:cs="宋体"/>
                <w:sz w:val="24"/>
                <w:szCs w:val="24"/>
              </w:rPr>
            </w:pPr>
            <w:r>
              <w:rPr>
                <w:rFonts w:hint="eastAsia" w:ascii="宋体" w:hAnsi="宋体" w:cs="宋体"/>
                <w:sz w:val="24"/>
                <w:szCs w:val="24"/>
              </w:rPr>
              <w:t>4.纳税等级：B。</w:t>
            </w:r>
          </w:p>
          <w:p>
            <w:pPr>
              <w:adjustRightInd w:val="0"/>
              <w:snapToGrid w:val="0"/>
              <w:jc w:val="left"/>
              <w:rPr>
                <w:rFonts w:hint="eastAsia" w:ascii="宋体" w:hAnsi="宋体" w:cs="宋体"/>
                <w:sz w:val="24"/>
                <w:szCs w:val="24"/>
              </w:rPr>
            </w:pPr>
            <w:r>
              <w:rPr>
                <w:rFonts w:hint="eastAsia" w:ascii="宋体" w:hAnsi="宋体" w:cs="宋体"/>
                <w:sz w:val="24"/>
                <w:szCs w:val="24"/>
              </w:rPr>
              <w:t>5.担保方式：抵押。</w:t>
            </w:r>
          </w:p>
          <w:p>
            <w:pPr>
              <w:adjustRightInd w:val="0"/>
              <w:snapToGrid w:val="0"/>
              <w:jc w:val="left"/>
              <w:rPr>
                <w:rFonts w:hint="eastAsia" w:ascii="宋体" w:hAnsi="宋体" w:cs="宋体"/>
                <w:sz w:val="24"/>
                <w:szCs w:val="24"/>
              </w:rPr>
            </w:pPr>
            <w:r>
              <w:rPr>
                <w:rFonts w:hint="eastAsia" w:ascii="宋体" w:hAnsi="宋体" w:cs="宋体"/>
                <w:sz w:val="24"/>
                <w:szCs w:val="24"/>
              </w:rPr>
              <w:t>6.还款方式：线上随借随还、按月付息、到期还本。</w:t>
            </w:r>
          </w:p>
        </w:tc>
        <w:tc>
          <w:tcPr>
            <w:tcW w:w="2917" w:type="dxa"/>
          </w:tcPr>
          <w:p>
            <w:pPr>
              <w:adjustRightInd w:val="0"/>
              <w:snapToGrid w:val="0"/>
              <w:jc w:val="left"/>
              <w:rPr>
                <w:rFonts w:hint="eastAsia" w:ascii="宋体" w:hAnsi="宋体" w:cs="宋体"/>
                <w:sz w:val="24"/>
                <w:szCs w:val="24"/>
              </w:rPr>
            </w:pPr>
            <w:r>
              <w:rPr>
                <w:rFonts w:hint="eastAsia" w:ascii="宋体" w:hAnsi="宋体" w:cs="宋体"/>
                <w:sz w:val="24"/>
                <w:szCs w:val="24"/>
              </w:rPr>
              <w:t>1.抵押物及成数：住宅最高7成，别墅最高5成。</w:t>
            </w:r>
          </w:p>
          <w:p>
            <w:pPr>
              <w:adjustRightInd w:val="0"/>
              <w:snapToGrid w:val="0"/>
              <w:jc w:val="left"/>
              <w:rPr>
                <w:rFonts w:hint="eastAsia" w:ascii="宋体" w:hAnsi="宋体" w:cs="宋体"/>
                <w:sz w:val="24"/>
                <w:szCs w:val="24"/>
              </w:rPr>
            </w:pPr>
            <w:r>
              <w:rPr>
                <w:rFonts w:hint="eastAsia" w:ascii="宋体" w:hAnsi="宋体" w:cs="宋体"/>
                <w:sz w:val="24"/>
                <w:szCs w:val="24"/>
              </w:rPr>
              <w:t>2.抵押人范围:法人、股东及其配偶、成年子女、父母。</w:t>
            </w:r>
          </w:p>
          <w:p>
            <w:pPr>
              <w:adjustRightInd w:val="0"/>
              <w:snapToGrid w:val="0"/>
              <w:jc w:val="left"/>
              <w:rPr>
                <w:rFonts w:hint="eastAsia" w:ascii="宋体" w:hAnsi="宋体" w:cs="宋体"/>
                <w:sz w:val="24"/>
                <w:szCs w:val="24"/>
              </w:rPr>
            </w:pPr>
            <w:r>
              <w:rPr>
                <w:rFonts w:hint="eastAsia" w:ascii="宋体" w:hAnsi="宋体" w:cs="宋体"/>
                <w:sz w:val="24"/>
                <w:szCs w:val="24"/>
              </w:rPr>
              <w:t>3.免收评估费、保险费。</w:t>
            </w:r>
          </w:p>
          <w:p>
            <w:pPr>
              <w:adjustRightInd w:val="0"/>
              <w:snapToGrid w:val="0"/>
              <w:jc w:val="left"/>
              <w:rPr>
                <w:rFonts w:hint="eastAsia" w:ascii="宋体" w:hAnsi="宋体" w:cs="宋体"/>
                <w:sz w:val="24"/>
                <w:szCs w:val="24"/>
              </w:rPr>
            </w:pPr>
            <w:r>
              <w:rPr>
                <w:rFonts w:hint="eastAsia" w:ascii="宋体" w:hAnsi="宋体" w:cs="宋体"/>
                <w:sz w:val="24"/>
                <w:szCs w:val="24"/>
              </w:rPr>
              <w:t>4.用款方式:线上随借随还、按月付息、到期还本。</w:t>
            </w:r>
          </w:p>
          <w:p>
            <w:pPr>
              <w:adjustRightInd w:val="0"/>
              <w:snapToGrid w:val="0"/>
              <w:jc w:val="left"/>
              <w:rPr>
                <w:rFonts w:hint="eastAsia" w:ascii="宋体" w:hAnsi="宋体" w:cs="宋体"/>
                <w:sz w:val="24"/>
                <w:szCs w:val="24"/>
              </w:rPr>
            </w:pPr>
            <w:r>
              <w:rPr>
                <w:rFonts w:hint="eastAsia" w:ascii="宋体" w:hAnsi="宋体" w:cs="宋体"/>
                <w:sz w:val="24"/>
                <w:szCs w:val="24"/>
              </w:rPr>
              <w:t>5.申请渠道及时效：推广链接、手机银行，最快当天完成审批。</w:t>
            </w:r>
          </w:p>
          <w:p>
            <w:pPr>
              <w:adjustRightInd w:val="0"/>
              <w:snapToGrid w:val="0"/>
              <w:jc w:val="left"/>
              <w:rPr>
                <w:rFonts w:hint="eastAsia" w:ascii="宋体" w:hAnsi="宋体" w:cs="宋体"/>
                <w:sz w:val="24"/>
                <w:szCs w:val="24"/>
              </w:rPr>
            </w:pPr>
          </w:p>
        </w:tc>
        <w:tc>
          <w:tcPr>
            <w:tcW w:w="3218" w:type="dxa"/>
          </w:tcPr>
          <w:p>
            <w:pPr>
              <w:adjustRightInd w:val="0"/>
              <w:snapToGrid w:val="0"/>
              <w:jc w:val="left"/>
              <w:rPr>
                <w:rFonts w:hint="eastAsia" w:ascii="宋体" w:hAnsi="宋体" w:cs="宋体"/>
                <w:sz w:val="24"/>
                <w:szCs w:val="24"/>
              </w:rPr>
            </w:pPr>
            <w:r>
              <w:rPr>
                <w:rFonts w:hint="eastAsia" w:ascii="宋体" w:hAnsi="宋体" w:cs="宋体"/>
                <w:sz w:val="24"/>
                <w:szCs w:val="24"/>
              </w:rPr>
              <w:t>1.客户自助申请。</w:t>
            </w:r>
          </w:p>
          <w:p>
            <w:pPr>
              <w:adjustRightInd w:val="0"/>
              <w:snapToGrid w:val="0"/>
              <w:jc w:val="left"/>
              <w:rPr>
                <w:rFonts w:hint="eastAsia" w:ascii="宋体" w:hAnsi="宋体" w:cs="宋体"/>
                <w:sz w:val="24"/>
                <w:szCs w:val="24"/>
              </w:rPr>
            </w:pPr>
            <w:r>
              <w:rPr>
                <w:rFonts w:hint="eastAsia" w:ascii="宋体" w:hAnsi="宋体" w:cs="宋体"/>
                <w:sz w:val="24"/>
                <w:szCs w:val="24"/>
              </w:rPr>
              <w:t>2.抵押物线上预评估。</w:t>
            </w:r>
          </w:p>
          <w:p>
            <w:pPr>
              <w:adjustRightInd w:val="0"/>
              <w:snapToGrid w:val="0"/>
              <w:jc w:val="left"/>
              <w:rPr>
                <w:rFonts w:hint="eastAsia" w:ascii="宋体" w:hAnsi="宋体" w:cs="宋体"/>
                <w:sz w:val="24"/>
                <w:szCs w:val="24"/>
              </w:rPr>
            </w:pPr>
            <w:r>
              <w:rPr>
                <w:rFonts w:hint="eastAsia" w:ascii="宋体" w:hAnsi="宋体" w:cs="宋体"/>
                <w:sz w:val="24"/>
                <w:szCs w:val="24"/>
              </w:rPr>
              <w:t>3.线上预授信额度。</w:t>
            </w:r>
          </w:p>
          <w:p>
            <w:pPr>
              <w:adjustRightInd w:val="0"/>
              <w:snapToGrid w:val="0"/>
              <w:jc w:val="left"/>
              <w:rPr>
                <w:rFonts w:hint="eastAsia" w:ascii="宋体" w:hAnsi="宋体" w:cs="宋体"/>
                <w:sz w:val="24"/>
                <w:szCs w:val="24"/>
              </w:rPr>
            </w:pPr>
            <w:r>
              <w:rPr>
                <w:rFonts w:hint="eastAsia" w:ascii="宋体" w:hAnsi="宋体" w:cs="宋体"/>
                <w:sz w:val="24"/>
                <w:szCs w:val="24"/>
              </w:rPr>
              <w:t>4.线下调查核实。</w:t>
            </w:r>
          </w:p>
          <w:p>
            <w:pPr>
              <w:adjustRightInd w:val="0"/>
              <w:snapToGrid w:val="0"/>
              <w:jc w:val="left"/>
              <w:rPr>
                <w:rFonts w:hint="eastAsia" w:ascii="宋体" w:hAnsi="宋体" w:cs="宋体"/>
                <w:sz w:val="24"/>
                <w:szCs w:val="24"/>
              </w:rPr>
            </w:pPr>
            <w:r>
              <w:rPr>
                <w:rFonts w:hint="eastAsia" w:ascii="宋体" w:hAnsi="宋体" w:cs="宋体"/>
                <w:sz w:val="24"/>
                <w:szCs w:val="24"/>
              </w:rPr>
              <w:t>5.授信额度审查审批。</w:t>
            </w:r>
          </w:p>
          <w:p>
            <w:pPr>
              <w:adjustRightInd w:val="0"/>
              <w:snapToGrid w:val="0"/>
              <w:jc w:val="left"/>
              <w:rPr>
                <w:rFonts w:hint="eastAsia" w:ascii="宋体" w:hAnsi="宋体" w:cs="宋体"/>
                <w:sz w:val="24"/>
                <w:szCs w:val="24"/>
              </w:rPr>
            </w:pPr>
            <w:r>
              <w:rPr>
                <w:rFonts w:hint="eastAsia" w:ascii="宋体" w:hAnsi="宋体" w:cs="宋体"/>
                <w:sz w:val="24"/>
                <w:szCs w:val="24"/>
              </w:rPr>
              <w:t>6.面签合同办理抵押。</w:t>
            </w:r>
          </w:p>
          <w:p>
            <w:pPr>
              <w:adjustRightInd w:val="0"/>
              <w:snapToGrid w:val="0"/>
              <w:jc w:val="left"/>
              <w:rPr>
                <w:rFonts w:hint="eastAsia" w:ascii="宋体" w:hAnsi="宋体" w:cs="宋体"/>
                <w:sz w:val="24"/>
                <w:szCs w:val="24"/>
              </w:rPr>
            </w:pPr>
            <w:r>
              <w:rPr>
                <w:rFonts w:hint="eastAsia" w:ascii="宋体" w:hAnsi="宋体" w:cs="宋体"/>
                <w:sz w:val="24"/>
                <w:szCs w:val="24"/>
              </w:rPr>
              <w:t>7.额度生效。</w:t>
            </w:r>
          </w:p>
          <w:p>
            <w:pPr>
              <w:adjustRightInd w:val="0"/>
              <w:snapToGrid w:val="0"/>
              <w:jc w:val="left"/>
              <w:rPr>
                <w:rFonts w:hint="eastAsia" w:ascii="宋体" w:hAnsi="宋体" w:cs="宋体"/>
                <w:sz w:val="24"/>
                <w:szCs w:val="24"/>
              </w:rPr>
            </w:pPr>
            <w:r>
              <w:rPr>
                <w:rFonts w:hint="eastAsia" w:ascii="宋体" w:hAnsi="宋体" w:cs="宋体"/>
                <w:sz w:val="24"/>
                <w:szCs w:val="24"/>
              </w:rPr>
              <w:t>8.自助提用。</w:t>
            </w:r>
          </w:p>
        </w:tc>
        <w:tc>
          <w:tcPr>
            <w:tcW w:w="1612" w:type="dxa"/>
          </w:tcPr>
          <w:p>
            <w:pPr>
              <w:adjustRightInd w:val="0"/>
              <w:snapToGrid w:val="0"/>
              <w:jc w:val="left"/>
              <w:rPr>
                <w:rFonts w:hint="eastAsia" w:ascii="宋体" w:hAnsi="宋体" w:cs="宋体"/>
                <w:sz w:val="24"/>
                <w:szCs w:val="24"/>
              </w:rPr>
            </w:pPr>
            <w:r>
              <w:rPr>
                <w:rFonts w:hint="eastAsia" w:ascii="宋体" w:hAnsi="宋体" w:cs="宋体"/>
                <w:sz w:val="24"/>
                <w:szCs w:val="24"/>
              </w:rPr>
              <w:t>交通银行泉州分行：陈军  18259500055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67" w:type="dxa"/>
          </w:tcPr>
          <w:p>
            <w:pPr>
              <w:adjustRightInd w:val="0"/>
              <w:snapToGrid w:val="0"/>
              <w:jc w:val="center"/>
              <w:rPr>
                <w:rFonts w:hint="eastAsia" w:ascii="宋体" w:hAnsi="宋体" w:cs="宋体"/>
                <w:sz w:val="24"/>
                <w:szCs w:val="24"/>
              </w:rPr>
            </w:pPr>
            <w:r>
              <w:rPr>
                <w:rFonts w:hint="eastAsia" w:ascii="宋体" w:hAnsi="宋体" w:cs="宋体"/>
                <w:sz w:val="24"/>
                <w:szCs w:val="24"/>
              </w:rPr>
              <w:t>政采贷</w:t>
            </w:r>
          </w:p>
        </w:tc>
        <w:tc>
          <w:tcPr>
            <w:tcW w:w="2370" w:type="dxa"/>
          </w:tcPr>
          <w:p>
            <w:pPr>
              <w:adjustRightInd w:val="0"/>
              <w:snapToGrid w:val="0"/>
              <w:jc w:val="left"/>
              <w:rPr>
                <w:rFonts w:hint="eastAsia" w:ascii="宋体" w:hAnsi="宋体" w:cs="宋体"/>
                <w:sz w:val="24"/>
                <w:szCs w:val="24"/>
              </w:rPr>
            </w:pPr>
            <w:r>
              <w:rPr>
                <w:rFonts w:hint="eastAsia" w:ascii="宋体" w:hAnsi="宋体" w:cs="宋体"/>
                <w:sz w:val="24"/>
                <w:szCs w:val="24"/>
              </w:rPr>
              <w:t>已在福建省政府采购网上注册登记，依法取得福建省内政府采购合同的省内中小企业供应商，通过福建省政府采购融资平台向我行申请的以财政性资金作为还款来源的流动资金贷款业务。</w:t>
            </w:r>
          </w:p>
        </w:tc>
        <w:tc>
          <w:tcPr>
            <w:tcW w:w="3368" w:type="dxa"/>
          </w:tcPr>
          <w:p>
            <w:pPr>
              <w:numPr>
                <w:ilvl w:val="0"/>
                <w:numId w:val="1"/>
              </w:numPr>
              <w:adjustRightInd w:val="0"/>
              <w:snapToGrid w:val="0"/>
              <w:jc w:val="left"/>
              <w:rPr>
                <w:rFonts w:hint="eastAsia" w:ascii="宋体" w:hAnsi="宋体" w:cs="宋体"/>
                <w:sz w:val="24"/>
                <w:szCs w:val="24"/>
              </w:rPr>
            </w:pPr>
            <w:r>
              <w:rPr>
                <w:rFonts w:hint="eastAsia" w:ascii="宋体" w:hAnsi="宋体" w:cs="宋体"/>
                <w:sz w:val="24"/>
                <w:szCs w:val="24"/>
              </w:rPr>
              <w:t>授信额度：最高2000万；单个项目最高300万。</w:t>
            </w:r>
          </w:p>
          <w:p>
            <w:pPr>
              <w:numPr>
                <w:ilvl w:val="0"/>
                <w:numId w:val="1"/>
              </w:numPr>
              <w:adjustRightInd w:val="0"/>
              <w:snapToGrid w:val="0"/>
              <w:jc w:val="left"/>
              <w:rPr>
                <w:rFonts w:hint="eastAsia" w:ascii="宋体" w:hAnsi="宋体" w:cs="宋体"/>
                <w:sz w:val="24"/>
                <w:szCs w:val="24"/>
              </w:rPr>
            </w:pPr>
            <w:r>
              <w:rPr>
                <w:rFonts w:hint="eastAsia" w:ascii="宋体" w:hAnsi="宋体" w:cs="宋体"/>
                <w:sz w:val="24"/>
                <w:szCs w:val="24"/>
              </w:rPr>
              <w:t>授信期限：1年。</w:t>
            </w:r>
          </w:p>
          <w:p>
            <w:pPr>
              <w:adjustRightInd w:val="0"/>
              <w:snapToGrid w:val="0"/>
              <w:jc w:val="left"/>
              <w:rPr>
                <w:rFonts w:hint="eastAsia" w:ascii="宋体" w:hAnsi="宋体" w:cs="宋体"/>
                <w:sz w:val="24"/>
                <w:szCs w:val="24"/>
              </w:rPr>
            </w:pPr>
            <w:r>
              <w:rPr>
                <w:rFonts w:hint="eastAsia" w:ascii="宋体" w:hAnsi="宋体" w:cs="宋体"/>
                <w:sz w:val="24"/>
                <w:szCs w:val="24"/>
              </w:rPr>
              <w:t>3.授信利率：4.35%-5.66%。</w:t>
            </w:r>
          </w:p>
          <w:p>
            <w:pPr>
              <w:adjustRightInd w:val="0"/>
              <w:snapToGrid w:val="0"/>
              <w:jc w:val="left"/>
              <w:rPr>
                <w:rFonts w:hint="eastAsia" w:ascii="宋体" w:hAnsi="宋体" w:cs="宋体"/>
                <w:sz w:val="24"/>
                <w:szCs w:val="24"/>
              </w:rPr>
            </w:pPr>
            <w:r>
              <w:rPr>
                <w:rFonts w:hint="eastAsia" w:ascii="宋体" w:hAnsi="宋体" w:cs="宋体"/>
                <w:sz w:val="24"/>
                <w:szCs w:val="24"/>
              </w:rPr>
              <w:t>4.担保方式：质押。</w:t>
            </w:r>
          </w:p>
          <w:p>
            <w:pPr>
              <w:adjustRightInd w:val="0"/>
              <w:snapToGrid w:val="0"/>
              <w:jc w:val="left"/>
              <w:rPr>
                <w:rFonts w:hint="eastAsia" w:ascii="宋体" w:hAnsi="宋体" w:cs="宋体"/>
                <w:sz w:val="24"/>
                <w:szCs w:val="24"/>
              </w:rPr>
            </w:pPr>
            <w:r>
              <w:rPr>
                <w:rFonts w:hint="eastAsia" w:ascii="宋体" w:hAnsi="宋体" w:cs="宋体"/>
                <w:sz w:val="24"/>
                <w:szCs w:val="24"/>
              </w:rPr>
              <w:t>5.还款方式：按月付息，一次还本。</w:t>
            </w:r>
          </w:p>
        </w:tc>
        <w:tc>
          <w:tcPr>
            <w:tcW w:w="2917" w:type="dxa"/>
          </w:tcPr>
          <w:p>
            <w:pPr>
              <w:adjustRightInd w:val="0"/>
              <w:snapToGrid w:val="0"/>
              <w:jc w:val="left"/>
              <w:rPr>
                <w:rFonts w:hint="eastAsia" w:ascii="宋体" w:hAnsi="宋体" w:cs="宋体"/>
                <w:sz w:val="24"/>
                <w:szCs w:val="24"/>
              </w:rPr>
            </w:pPr>
            <w:r>
              <w:rPr>
                <w:rFonts w:hint="eastAsia" w:ascii="宋体" w:hAnsi="宋体" w:cs="宋体"/>
                <w:sz w:val="24"/>
                <w:szCs w:val="24"/>
              </w:rPr>
              <w:t>贷款金额：授信额度最高2000万，单笔项目额度最高300万。</w:t>
            </w:r>
          </w:p>
        </w:tc>
        <w:tc>
          <w:tcPr>
            <w:tcW w:w="3218" w:type="dxa"/>
          </w:tcPr>
          <w:p>
            <w:pPr>
              <w:adjustRightInd w:val="0"/>
              <w:snapToGrid w:val="0"/>
              <w:jc w:val="left"/>
              <w:rPr>
                <w:rFonts w:hint="eastAsia" w:ascii="宋体" w:hAnsi="宋体" w:cs="宋体"/>
                <w:sz w:val="24"/>
                <w:szCs w:val="24"/>
              </w:rPr>
            </w:pPr>
            <w:r>
              <w:rPr>
                <w:rFonts w:hint="eastAsia" w:ascii="宋体" w:hAnsi="宋体" w:cs="宋体"/>
                <w:sz w:val="24"/>
                <w:szCs w:val="24"/>
              </w:rPr>
              <w:t>在线申请、电话联系初步接洽、待签调查审查审批、反馈结果现场开户、贷款签约生效额度、提用贷款</w:t>
            </w:r>
          </w:p>
        </w:tc>
        <w:tc>
          <w:tcPr>
            <w:tcW w:w="1612" w:type="dxa"/>
          </w:tcPr>
          <w:p>
            <w:pPr>
              <w:adjustRightInd w:val="0"/>
              <w:snapToGrid w:val="0"/>
              <w:jc w:val="left"/>
              <w:rPr>
                <w:rFonts w:hint="eastAsia" w:ascii="宋体" w:hAnsi="宋体" w:cs="宋体"/>
                <w:sz w:val="24"/>
                <w:szCs w:val="24"/>
              </w:rPr>
            </w:pPr>
            <w:r>
              <w:rPr>
                <w:rFonts w:hint="eastAsia" w:ascii="宋体" w:hAnsi="宋体" w:cs="宋体"/>
                <w:sz w:val="24"/>
                <w:szCs w:val="24"/>
              </w:rPr>
              <w:t>交通银行泉州分行：陈军  18259500055</w:t>
            </w:r>
          </w:p>
        </w:tc>
      </w:tr>
    </w:tbl>
    <w:p>
      <w:pPr>
        <w:adjustRightInd w:val="0"/>
        <w:snapToGrid w:val="0"/>
        <w:spacing w:line="560" w:lineRule="exact"/>
        <w:jc w:val="center"/>
        <w:rPr>
          <w:rFonts w:hint="eastAsia" w:ascii="宋体" w:hAnsi="宋体" w:cs="宋体"/>
          <w:b/>
          <w:bCs/>
          <w:sz w:val="36"/>
          <w:szCs w:val="36"/>
        </w:rPr>
      </w:pPr>
    </w:p>
    <w:p>
      <w:pPr>
        <w:adjustRightInd w:val="0"/>
        <w:snapToGrid w:val="0"/>
        <w:spacing w:line="600" w:lineRule="exact"/>
        <w:jc w:val="center"/>
        <w:rPr>
          <w:rFonts w:hint="eastAsia" w:ascii="宋体" w:hAnsi="宋体" w:cs="宋体"/>
          <w:b/>
          <w:bCs/>
          <w:sz w:val="36"/>
          <w:szCs w:val="36"/>
        </w:rPr>
      </w:pPr>
      <w:r>
        <w:rPr>
          <w:rFonts w:hint="eastAsia" w:ascii="宋体" w:hAnsi="宋体" w:cs="宋体"/>
          <w:b/>
          <w:bCs/>
          <w:sz w:val="36"/>
          <w:szCs w:val="36"/>
        </w:rPr>
        <w:t>交通银行泉州分行</w:t>
      </w:r>
      <w:r>
        <w:rPr>
          <w:rFonts w:hint="eastAsia" w:ascii="宋体" w:hAnsi="宋体" w:cs="宋体"/>
          <w:b/>
          <w:bCs/>
          <w:sz w:val="36"/>
          <w:szCs w:val="36"/>
          <w:lang w:eastAsia="zh-CN"/>
        </w:rPr>
        <w:t>“</w:t>
      </w:r>
      <w:r>
        <w:rPr>
          <w:rFonts w:hint="eastAsia" w:ascii="宋体" w:hAnsi="宋体" w:cs="宋体"/>
          <w:b/>
          <w:bCs/>
          <w:sz w:val="36"/>
          <w:szCs w:val="36"/>
        </w:rPr>
        <w:t>政采贷</w:t>
      </w:r>
      <w:r>
        <w:rPr>
          <w:rFonts w:hint="eastAsia" w:ascii="宋体" w:hAnsi="宋体" w:cs="宋体"/>
          <w:b/>
          <w:bCs/>
          <w:sz w:val="36"/>
          <w:szCs w:val="36"/>
          <w:lang w:eastAsia="zh-CN"/>
        </w:rPr>
        <w:t>”</w:t>
      </w:r>
      <w:r>
        <w:rPr>
          <w:rFonts w:hint="eastAsia" w:ascii="宋体" w:hAnsi="宋体" w:cs="宋体"/>
          <w:b/>
          <w:bCs/>
          <w:sz w:val="36"/>
          <w:szCs w:val="36"/>
        </w:rPr>
        <w:t>金融产品推广案例</w:t>
      </w:r>
    </w:p>
    <w:p>
      <w:p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一、客户情况</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泉州**智能科技公司主营业务为智能产品的研发及技术推广；生产、销售:警用安防设备、刑侦器材、保安器材、消防器材、电子监控设备、楼宇智能设备、公共安全设施等。</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二、融资背景</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本次采购中标项目为泉州市公安局**建设项目采购项目，中标金额309万元，是与**集成有限公司联合中标，归属泉州**智能科技有限公司的金额是259万元，归属**集成有限公司的有50万元。</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三、产品推广过程</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客户投保的中标结果及时显示于福建省政府采购合同融资信息服务平台上。当平台有已中标采购项目信息时，交行泉州分行客户经理方便地查询中标项目基本信息，包括项目中标标段的中标金额，供应商与政府成功合作年数、近两年采购供应额等统计信息，方便初步确定意向项目；客户经理根据项目经理人信息主动进行业务接洽，了解客户的融资需求。</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客户在福建省政府采购合同融资信息服务平台上查询自己的中标信息，并在该平台上发起融资申请，填写合同融资意向书。客户经理在平台上领取客户的融资任务后，上门收集授信所需材料，并根据银行内部准入和授信流程，上报省分行审查审批。审批通过后，客户经理将审核授信结果在柜面系上统回填，以便企业进行融资决策。 </w:t>
      </w:r>
    </w:p>
    <w:p>
      <w:pPr>
        <w:adjustRightInd w:val="0"/>
        <w:snapToGrid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客户同意该融资审批结果，即可在交行开立回款专户，同时将开户信息回填，并提交银行经理复核。提交后政采贷信息服务平台将指导融资企业按照开户信息签署采购合同，同时通过备案管理，将采购合同进行标记。客户与银行签订贷款合同后，客户经理应将贷款签约情况回填并提交。客户经理登陆中征网进行未来应收账款质押登记。放款中心生效额度。政府采购平台将政府采购项目履约验收信息和付款信息推送至柜面系统。</w:t>
      </w:r>
    </w:p>
    <w:p>
      <w:pPr>
        <w:adjustRightInd w:val="0"/>
        <w:snapToGrid w:val="0"/>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四、产品推广效果</w:t>
      </w:r>
    </w:p>
    <w:p>
      <w:pPr>
        <w:adjustRightInd w:val="0"/>
        <w:snapToGrid w:val="0"/>
        <w:spacing w:line="600" w:lineRule="exact"/>
        <w:ind w:firstLine="640" w:firstLineChars="200"/>
      </w:pPr>
      <w:r>
        <w:rPr>
          <w:rFonts w:hint="eastAsia" w:ascii="仿宋_GB2312" w:hAnsi="仿宋_GB2312" w:eastAsia="仿宋_GB2312" w:cs="仿宋_GB2312"/>
          <w:sz w:val="32"/>
          <w:szCs w:val="32"/>
          <w:lang w:eastAsia="zh-CN"/>
        </w:rPr>
        <w:t>交通银行“</w:t>
      </w:r>
      <w:r>
        <w:rPr>
          <w:rFonts w:hint="eastAsia" w:ascii="仿宋_GB2312" w:hAnsi="仿宋_GB2312" w:eastAsia="仿宋_GB2312" w:cs="仿宋_GB2312"/>
          <w:sz w:val="32"/>
          <w:szCs w:val="32"/>
        </w:rPr>
        <w:t>政采贷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用纯线上操作，最快可实现T+1日放款；传统政采贷业务需要担保公司提供担保并收取1%-3%左右的担保费，全线上政采贷融资业务仅需企业法定代表人及实际控制人提供信用担保，大幅降低了中小微企业的融资成本。</w:t>
      </w: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8CDC9"/>
    <w:multiLevelType w:val="singleLevel"/>
    <w:tmpl w:val="5F48CDC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C4A32"/>
    <w:rsid w:val="452B56DD"/>
    <w:rsid w:val="723C4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2020-09-24T01:13:00Z</dcterms:created>
  <dc:creator>Administrator</dc:creator>
  <cp:lastModifiedBy>Administrator</cp:lastModifiedBy>
  <dcterms:modified xsi:type="dcterms:W3CDTF">2020-09-24T01:13:45Z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