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kern w:val="2"/>
          <w:sz w:val="44"/>
          <w:szCs w:val="44"/>
          <w:lang w:val="en-US" w:eastAsia="zh-CN" w:bidi="ar"/>
        </w:rPr>
        <w:t>建设银行泉州分行</w:t>
      </w:r>
    </w:p>
    <w:tbl>
      <w:tblPr>
        <w:tblStyle w:val="4"/>
        <w:tblW w:w="14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933"/>
        <w:gridCol w:w="2520"/>
        <w:gridCol w:w="3555"/>
        <w:gridCol w:w="2370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产品概况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产品要素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产品优势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业务流程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云税贷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云税贷是建设银行推出的以小微企业税收信息为主，结合企业及企业主结算、工商、税务、征信等内外部信息，运用大数据技术分析评价，对小微企业提供融资支持的全流程线上融资产品。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1.融资额度：单户贷款额度最高200万元。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2.融资期限：额度有效期最长1年。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3.融资利率：当前年利率4.2525%。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4.纳税等级：最近一次纳税信用等级评定结果为A、B或M级。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5.担保方式：信用。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6.还款方式：随借随还。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1.贷款额度根据纳税数据核定。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2.办理流程简单，全流程线上办理。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3.业务门槛低，无需担保。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4.资金到账快。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5.融资成本低，按日计息。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企业开设建行对公账户、企业网银。企业主开办建行个人网银或手机银行。企业通过企业网银对企业主进行授权后，企业主登录个人网银、手机银行或建行惠懂你APP申请。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建设银行泉州分行：22163859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商户云贷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商户云贷是建设银行以商户经营实体及其企业主的基本信息、经营信息、交易信息等多维度数据为依据，通过互联网渠道办理的全流程线上信用贷款业务。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1.融资额度：单户贷款额度最高300万元。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2.融资期限：额度有效期最长1年。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3.融资利率：当前年利率4.2525%。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4.担保方式：信用。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5.还款方式：随借随还。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1.根据商户客群经营特点，依托商户及企业主各类真实、客观交易数据，引入网联数据（含支付宝、微信等第三方平台部分数据），补充商户客群结算、经营等数据，作为授信来源依据。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2.办理流程简单，全流程线上办理。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3.业务门槛低，无需担保。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4.资金到账快。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5.融资成本低，按日计息。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企业开设建行对公账户、企业网银。企业主开办建行个人网银或手机银行。企业通过企业网银对企业主进行授权后，企业主登录个人网银、手机银行或建行惠懂你APP申请。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建设银行泉州分行：22163859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个体工商户经营快贷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个体工商户经营快贷是建设银行通过互联网渠道向拥有经营实体（经营实体包括个体工商户或个人独资企业）的自然人发放的经营性贷款。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1.融资额度：单户贷款额度最高300万元。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2.融资期限：额度有效期最长1年。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3.融资利率：当前年利率4.2525%。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4.担保方式：信用。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5.还款方式：随借随还。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1. 贷款额度综合考虑借款人及其经营实体的资产、负债、交易结算、税务等信息确定。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2.办理流程简单，全流程线上办理。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3.业务门槛低，无需担保。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4.资金到账快。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5.融资成本低，按日计息。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6.额度50万元以内的，无需开立对公账户，贷款资金划拨至借款人个人签约账户。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企业主通过建行惠懂你APP申请。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建设银行泉州分行：22163859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（建行）跨境快贷-出口贷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指在一般出口贸易中，小微出口企业采用电汇（T/T）或承兑托收（D/A）方式结算，利用内外部大数据分析企业及企业主的资信状况，为优质小微企业核定信用额度，通过与“中国国际贸易单一窗口”线上调取贸易背景信息，在货物出运后，为小微出口企业提供全流程线上化贸易融资服务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1.融资额度：单户额度最高为200万元。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2.融资期限：额度有效期最长1年，可随时申请支用单笔贷款期限，最长为90天。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3.融资币种：外币或者人民币。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4.融资比例：根据报关金额确定，最高不超过80%。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1. 纯信用，无需企业提供抵质押或担保。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2.办理流程简单，全流程线上办理。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3.资金到账快。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4.融资成本低。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登陆“中国国际贸易单一窗口”发起申请，按照规定程序办理。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建设银行泉州分行：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22163620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 w:bidi="ar"/>
        </w:rPr>
        <w:t>建设银行泉州分行云税贷金融产品推广案例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一、客户情况：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福建**石业有限公司主营生产、销售：石板材、石材工艺品、荒料石等。企业生产经营状况良好，年均纳税额约100万。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二、融资背景：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由于石材行业的资金成本大部分在原料和产品上，且荒料和石板材的成本价格都较高，企业需有较强的资金流以应对市场状况。2018年7月份该公司与多家公司签订了多份订单，需要大量荒料石进行加工生产。由于企业荒料石库存不足，需要一笔资金采购荒料石，而企业当时大量资金用于升级企业的生产设备，资金较为紧张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三、产品推广过程：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建行客户经理在拜访公司过程中了解到了企业的资金需求情况。知晓企业每年具有稳定的纳税额，随即将建行的云税贷产品介绍给了企业。建行的云税贷具有纯信用自助循环、额度高、利率低的优点，这与企业的需求完全契合。企业主十分认可建行的云税贷，并在建行开立了对公账户，两天不到便申请获得了建行100万的云税贷额度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四、产品推广效果：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建行的云税贷解决了该公司的资金需求，让企业及时购买原材料，按时交付了订单。有了云税贷，企业对建行更加认可，将个人资产及企业资金流都转移到建行系统。2020年6月，企业在建行的云税贷额度已提升至200万元。同时企业也将云税贷产品推荐给上下游客户及同业好友，让建行的云税贷产品普惠到更多的企业，也让建行收获更广泛的客户群体和好口碑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B256A8"/>
    <w:rsid w:val="00B256A8"/>
    <w:rsid w:val="00EF32FF"/>
    <w:rsid w:val="04C76052"/>
    <w:rsid w:val="1DD87AD6"/>
    <w:rsid w:val="1DDC3364"/>
    <w:rsid w:val="3E364649"/>
    <w:rsid w:val="4180653C"/>
    <w:rsid w:val="461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1967</Characters>
  <Lines>16</Lines>
  <Paragraphs>4</Paragraphs>
  <TotalTime>6</TotalTime>
  <ScaleCrop>false</ScaleCrop>
  <LinksUpToDate>false</LinksUpToDate>
  <CharactersWithSpaces>2308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2020-09-23T03:58:00Z</dcterms:created>
  <dc:creator>Administrator</dc:creator>
  <cp:lastModifiedBy>Administrator</cp:lastModifiedBy>
  <dcterms:modified xsi:type="dcterms:W3CDTF">2020-09-28T07:38:46Z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