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b/>
          <w:kern w:val="2"/>
          <w:sz w:val="44"/>
          <w:szCs w:val="44"/>
          <w:lang w:val="en-US" w:eastAsia="zh-CN" w:bidi="ar"/>
        </w:rPr>
        <w:t>华夏银行泉州分行</w:t>
      </w:r>
    </w:p>
    <w:tbl>
      <w:tblPr>
        <w:tblStyle w:val="5"/>
        <w:tblW w:w="14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22"/>
        <w:gridCol w:w="2243"/>
        <w:gridCol w:w="3540"/>
        <w:gridCol w:w="2550"/>
        <w:gridCol w:w="3585"/>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产品名称</w:t>
            </w:r>
          </w:p>
        </w:tc>
        <w:tc>
          <w:tcPr>
            <w:tcW w:w="2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产品概况</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产品要素</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产品优势</w:t>
            </w:r>
          </w:p>
        </w:tc>
        <w:tc>
          <w:tcPr>
            <w:tcW w:w="35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业务流程</w:t>
            </w:r>
          </w:p>
        </w:tc>
        <w:tc>
          <w:tcPr>
            <w:tcW w:w="16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年审制贷款</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p>
        </w:tc>
        <w:tc>
          <w:tcPr>
            <w:tcW w:w="2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年审制贷款是指为缓解小微企业客户短期还款压力，华夏银行向小微企业发放不超过三个融资时段的流动资金贷款，除最后一个融资时段外，在其他融资时段到期前进行年审。通过年审的借款人，无需签订新的借款合同即自动进入下一融资时段。未通过年审的借款人，华夏银行宣布业务提前到期，借款人应按照合同约定归还华夏银行贷款。</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1.融资额度1000万。</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2.融资期限3年。</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3.融资利率4.35%。</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4.纳税等级：无要求。</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5.担保方式：质押、抵押、保证。</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6.还款方式：按期还息，到期还本。</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1.贷款期限较长，还款方式灵活。</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2.可以办理无还本续贷。</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3.资金到账快。</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cs="宋体"/>
                <w:kern w:val="2"/>
                <w:sz w:val="24"/>
                <w:szCs w:val="24"/>
                <w:lang w:val="en-US" w:eastAsia="zh-CN" w:bidi="ar"/>
              </w:rPr>
              <w:t>4</w:t>
            </w:r>
            <w:r>
              <w:rPr>
                <w:rFonts w:hint="eastAsia" w:ascii="宋体" w:hAnsi="宋体" w:eastAsia="宋体" w:cs="宋体"/>
                <w:kern w:val="2"/>
                <w:sz w:val="24"/>
                <w:szCs w:val="24"/>
                <w:lang w:val="en-US" w:eastAsia="zh-CN" w:bidi="ar"/>
              </w:rPr>
              <w:t>.融资成本低。</w:t>
            </w:r>
          </w:p>
        </w:tc>
        <w:tc>
          <w:tcPr>
            <w:tcW w:w="35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按照线下信贷审批流程办理。</w:t>
            </w:r>
          </w:p>
        </w:tc>
        <w:tc>
          <w:tcPr>
            <w:tcW w:w="16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华夏银行泉州分行：28278801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房贷通</w:t>
            </w:r>
          </w:p>
        </w:tc>
        <w:tc>
          <w:tcPr>
            <w:tcW w:w="2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对能提供产权明晰、变现能力较强的房产抵押，且符合华夏银行准入要求的小微企业发放贷款的业务。</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1.融资额度1000万。</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2.融资期限30年。</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3.融资利率4.35%。</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4.纳税等级：无要求。</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5.担保方式：抵押。</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6.还款方式：按期还息，到期还本。</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1.贷款期限较长，还款方式灵活。</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2.可以办理无还本续贷。</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3.资金到账快</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4.融资成本低</w:t>
            </w:r>
          </w:p>
        </w:tc>
        <w:tc>
          <w:tcPr>
            <w:tcW w:w="35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按照线下信贷审批流程办理。。</w:t>
            </w:r>
          </w:p>
        </w:tc>
        <w:tc>
          <w:tcPr>
            <w:tcW w:w="16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华夏银行泉州分行：28278801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银保通</w:t>
            </w:r>
          </w:p>
        </w:tc>
        <w:tc>
          <w:tcPr>
            <w:tcW w:w="2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以信用风险作为保险标的向保险公司投保，在获得保险公司对其提供保险的情况下，华夏银行向借款人发放贷款，在协议约定的保险事故发生时（借款人无法偿还贷款时），由保险公司向银行代为偿付的业务。保证保险贷款业务中，借款人为投保人、银行为被保险人、保险公司为保险人。</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1.融资额度：500。</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2.融资期限：3年</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3.融资利率：6%</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4.纳税等级：无要求。</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5.担保方式：信用。</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6.还款方式：按期还息，到期还本。</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1.无需担保。</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2.审批快捷。</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3.还款方式灵活。</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4.可以办理无还本续贷。</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5.资金到账快</w:t>
            </w:r>
          </w:p>
        </w:tc>
        <w:tc>
          <w:tcPr>
            <w:tcW w:w="35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按照线下信贷审批流程办理。</w:t>
            </w:r>
          </w:p>
        </w:tc>
        <w:tc>
          <w:tcPr>
            <w:tcW w:w="16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华夏银行泉州分行：28278801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出口票证通</w:t>
            </w:r>
          </w:p>
          <w:p>
            <w:pPr>
              <w:pStyle w:val="2"/>
              <w:widowControl/>
              <w:adjustRightInd w:val="0"/>
              <w:snapToGrid w:val="0"/>
              <w:spacing w:before="0" w:beforeAutospacing="0" w:after="0" w:afterAutospacing="0"/>
              <w:ind w:left="0" w:leftChars="0" w:right="0"/>
              <w:jc w:val="center"/>
              <w:rPr>
                <w:rFonts w:hint="eastAsia" w:ascii="宋体" w:hAnsi="宋体" w:eastAsia="宋体" w:cs="宋体"/>
                <w:sz w:val="24"/>
                <w:szCs w:val="24"/>
                <w:lang w:val="en-US"/>
              </w:rPr>
            </w:pPr>
          </w:p>
          <w:p>
            <w:pPr>
              <w:pStyle w:val="2"/>
              <w:widowControl/>
              <w:adjustRightInd w:val="0"/>
              <w:snapToGrid w:val="0"/>
              <w:spacing w:before="0" w:beforeAutospacing="0" w:after="0" w:afterAutospacing="0"/>
              <w:ind w:left="0" w:leftChars="0" w:right="0"/>
              <w:jc w:val="center"/>
              <w:rPr>
                <w:rFonts w:hint="eastAsia" w:ascii="宋体" w:hAnsi="宋体" w:eastAsia="宋体" w:cs="宋体"/>
                <w:sz w:val="24"/>
                <w:szCs w:val="24"/>
                <w:lang w:val="en-US"/>
              </w:rPr>
            </w:pPr>
          </w:p>
        </w:tc>
        <w:tc>
          <w:tcPr>
            <w:tcW w:w="2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出口票证通是指我行应客户申请，对符合我行要求的出口信用证、出口信用证/托收/汇款项下单据及出口退税托管账户，受让有关出口受益权，为客户购进原材料等开出人民币银行承兑汇票或开立进口信用证的贸易融资产品</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1.融资形式：开立人民币银行承兑汇票或进口信用证。</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2.融资币种：多币种。</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1.融资便利快捷。</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2.适用各种结算。</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3.用于多种环节。</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4.审批手续简单，出口与采购一站式融资，只需提交一次申请。</w:t>
            </w:r>
          </w:p>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5.融资形式灵活，可以开立银承或进口信用证，也可以提交新单据置换原单据，便利支用收汇款项。</w:t>
            </w:r>
          </w:p>
        </w:tc>
        <w:tc>
          <w:tcPr>
            <w:tcW w:w="358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widowControl/>
              <w:adjustRightInd w:val="0"/>
              <w:snapToGrid w:val="0"/>
              <w:spacing w:before="0" w:beforeAutospacing="0" w:after="0" w:afterAutospacing="0"/>
              <w:ind w:left="0" w:leftChars="0" w:right="0"/>
              <w:jc w:val="left"/>
              <w:rPr>
                <w:rFonts w:hint="eastAsia" w:ascii="宋体" w:hAnsi="宋体" w:eastAsia="宋体" w:cs="宋体"/>
                <w:sz w:val="24"/>
                <w:szCs w:val="24"/>
                <w:lang w:val="en-US"/>
              </w:rPr>
            </w:pPr>
            <w:r>
              <w:rPr>
                <w:rFonts w:hint="eastAsia" w:ascii="宋体" w:hAnsi="宋体" w:eastAsia="宋体" w:cs="宋体"/>
                <w:sz w:val="24"/>
                <w:szCs w:val="24"/>
              </w:rPr>
              <w:t>具有进出口经营权，从境内外采购原材料的企业，</w:t>
            </w:r>
            <w:r>
              <w:rPr>
                <w:rFonts w:hint="eastAsia" w:ascii="宋体" w:hAnsi="宋体" w:cs="宋体"/>
                <w:sz w:val="24"/>
                <w:szCs w:val="24"/>
                <w:lang w:eastAsia="zh-CN"/>
              </w:rPr>
              <w:t>通过</w:t>
            </w:r>
            <w:r>
              <w:rPr>
                <w:rFonts w:hint="eastAsia" w:ascii="宋体" w:hAnsi="宋体" w:eastAsia="宋体" w:cs="宋体"/>
                <w:sz w:val="24"/>
                <w:szCs w:val="24"/>
              </w:rPr>
              <w:t>分行贸易金融部产品经理或客户经理</w:t>
            </w:r>
            <w:r>
              <w:rPr>
                <w:rFonts w:hint="eastAsia" w:ascii="宋体" w:hAnsi="宋体" w:cs="宋体"/>
                <w:sz w:val="24"/>
                <w:szCs w:val="24"/>
                <w:lang w:eastAsia="zh-CN"/>
              </w:rPr>
              <w:t>办理</w:t>
            </w:r>
            <w:r>
              <w:rPr>
                <w:rFonts w:hint="eastAsia" w:ascii="宋体" w:hAnsi="宋体" w:eastAsia="宋体" w:cs="宋体"/>
                <w:sz w:val="24"/>
                <w:szCs w:val="24"/>
              </w:rPr>
              <w:t>。</w:t>
            </w:r>
          </w:p>
        </w:tc>
        <w:tc>
          <w:tcPr>
            <w:tcW w:w="16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华夏银行泉州分行：28286620</w:t>
            </w:r>
          </w:p>
        </w:tc>
      </w:tr>
    </w:tbl>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宋体" w:hAnsi="宋体" w:eastAsia="宋体" w:cs="宋体"/>
          <w:b/>
          <w:sz w:val="36"/>
          <w:szCs w:val="36"/>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仿宋_GB2312" w:hAnsi="仿宋_GB2312" w:eastAsia="仿宋_GB2312" w:cs="仿宋_GB2312"/>
          <w:b/>
          <w:sz w:val="36"/>
          <w:szCs w:val="36"/>
          <w:lang w:val="en-US"/>
        </w:rPr>
      </w:pPr>
      <w:r>
        <w:rPr>
          <w:rFonts w:hint="eastAsia" w:ascii="仿宋_GB2312" w:hAnsi="仿宋_GB2312" w:eastAsia="仿宋_GB2312" w:cs="仿宋_GB2312"/>
          <w:b/>
          <w:kern w:val="2"/>
          <w:sz w:val="36"/>
          <w:szCs w:val="36"/>
          <w:lang w:val="en-US" w:eastAsia="zh-CN" w:bidi="ar"/>
        </w:rPr>
        <w:t>华夏银行泉州分行年审制贷金融产品推广案例</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kern w:val="2"/>
          <w:sz w:val="32"/>
          <w:szCs w:val="32"/>
          <w:lang w:val="en-US" w:eastAsia="zh-CN" w:bidi="ar"/>
        </w:rPr>
        <w:t>一、客户情况：</w:t>
      </w:r>
      <w:r>
        <w:rPr>
          <w:rFonts w:hint="eastAsia" w:ascii="仿宋_GB2312" w:hAnsi="仿宋_GB2312" w:eastAsia="仿宋_GB2312" w:cs="仿宋_GB2312"/>
          <w:kern w:val="2"/>
          <w:sz w:val="32"/>
          <w:szCs w:val="32"/>
          <w:lang w:val="en-US" w:eastAsia="zh-CN" w:bidi="ar"/>
        </w:rPr>
        <w:t>黄**，经营泉州市丰泽区**汽车维修中心。</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kern w:val="2"/>
          <w:sz w:val="32"/>
          <w:szCs w:val="32"/>
          <w:lang w:val="en-US" w:eastAsia="zh-CN" w:bidi="ar"/>
        </w:rPr>
        <w:t>二、融资背景：</w:t>
      </w:r>
      <w:r>
        <w:rPr>
          <w:rFonts w:hint="eastAsia" w:ascii="仿宋_GB2312" w:hAnsi="仿宋_GB2312" w:eastAsia="仿宋_GB2312" w:cs="仿宋_GB2312"/>
          <w:kern w:val="2"/>
          <w:sz w:val="32"/>
          <w:szCs w:val="32"/>
          <w:lang w:val="en-US" w:eastAsia="zh-CN" w:bidi="ar"/>
        </w:rPr>
        <w:t>2018年5月，客户黄**因经营需要，需融资500万元，计划用款期限3年，目前有位于丰泽区8个店面，评估价值1054万元。</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kern w:val="2"/>
          <w:sz w:val="32"/>
          <w:szCs w:val="32"/>
          <w:lang w:val="en-US" w:eastAsia="zh-CN" w:bidi="ar"/>
        </w:rPr>
        <w:t>三、产品推广过程：</w:t>
      </w:r>
      <w:r>
        <w:rPr>
          <w:rFonts w:hint="eastAsia" w:ascii="仿宋_GB2312" w:hAnsi="仿宋_GB2312" w:eastAsia="仿宋_GB2312" w:cs="仿宋_GB2312"/>
          <w:kern w:val="2"/>
          <w:sz w:val="32"/>
          <w:szCs w:val="32"/>
          <w:lang w:val="en-US" w:eastAsia="zh-CN" w:bidi="ar"/>
        </w:rPr>
        <w:t>分行客户部收到客户申请后，安排客户经理上门调查核实其经营的企业和抵押物，经调查核实，同意向分行信贷部门申请，并报分行审批；分行有关审批人员收到分行客户部</w:t>
      </w:r>
      <w:bookmarkStart w:id="0" w:name="_GoBack"/>
      <w:bookmarkEnd w:id="0"/>
      <w:r>
        <w:rPr>
          <w:rFonts w:hint="eastAsia" w:ascii="仿宋_GB2312" w:hAnsi="仿宋_GB2312" w:eastAsia="仿宋_GB2312" w:cs="仿宋_GB2312"/>
          <w:kern w:val="2"/>
          <w:sz w:val="32"/>
          <w:szCs w:val="32"/>
          <w:lang w:val="en-US" w:eastAsia="zh-CN" w:bidi="ar"/>
        </w:rPr>
        <w:t>提交的申请后，对该客户的准入、经营企业情况、财务状况、个人及企业整体负债和履约情况、征信等进行了审查，经审查同意经营单位申报意见，考虑到用款期限及还款压力等情况，最后下达授信批复：给予黄**授信额度人民币500万元整，授信业务品种为个人经营性年审制贷款（个人经营性贷款），授信期限1年，贷款期限为T+N1+N2个月(T≤12，N1≤12，N2≤12)，第一融资时段为自贷款发放之日起T（含）个月（T≤12 ），第二融资时段为T个月后的N1（含）个月（N1≤12），第三融资时段为第二融资时段后的N2（含）个月（N2≤12），三个融资时段年利率均按不低于6.96%执行，按月结息，按计划还款，采取受托支付方式。</w:t>
      </w:r>
    </w:p>
    <w:p>
      <w:pPr>
        <w:keepNext w:val="0"/>
        <w:keepLines w:val="0"/>
        <w:widowControl w:val="0"/>
        <w:suppressLineNumbers w:val="0"/>
        <w:spacing w:before="0" w:beforeAutospacing="0" w:after="0" w:afterAutospacing="0"/>
        <w:ind w:left="0" w:right="0" w:firstLine="643" w:firstLineChars="200"/>
        <w:jc w:val="both"/>
      </w:pPr>
      <w:r>
        <w:rPr>
          <w:rFonts w:hint="eastAsia" w:ascii="仿宋_GB2312" w:hAnsi="仿宋_GB2312" w:eastAsia="仿宋_GB2312" w:cs="仿宋_GB2312"/>
          <w:b/>
          <w:kern w:val="2"/>
          <w:sz w:val="32"/>
          <w:szCs w:val="32"/>
          <w:lang w:val="en-US" w:eastAsia="zh-CN" w:bidi="ar"/>
        </w:rPr>
        <w:t>四、产品推广效果：</w:t>
      </w:r>
      <w:r>
        <w:rPr>
          <w:rFonts w:hint="eastAsia" w:ascii="仿宋_GB2312" w:hAnsi="仿宋_GB2312" w:eastAsia="仿宋_GB2312" w:cs="仿宋_GB2312"/>
          <w:kern w:val="2"/>
          <w:sz w:val="32"/>
          <w:szCs w:val="32"/>
          <w:lang w:val="en-US" w:eastAsia="zh-CN" w:bidi="ar"/>
        </w:rPr>
        <w:t>授信批复后，华夏银行泉州分行于2018年5月21日对其发放贷款500万元，期限为三个融资时段。第 1 次偿还时间为 2019-05-20 ；贷款到期前，该行对该客户进行了年审，通过对借款人复测信用等级、审查其经营变化、现金流变化、负债水平变化、担保品变化、授信管理条件落实情况，审查其是否存在大额对外投资、其他应收应付异常、变相延长贷款期限，短借长用，将短期资金用于固定资产投资等情形，营业执照是否在有效期内，其他认为必要的事项（包括在该行结算情况和违约情况、在他行违约情况等），经年审通过，同意其贷款进入第二个融资时段，即贷款到期日调至2020年5月20日；2020年贷款到期前，该行再次对其进行年审，经年审通过，同意其贷款到期日调至2021年5月20日。该客户贷款为短期流动资金贷款（利率按短期流动资金贷款相应执行），按正常程序需转贷2次，为缓解小微企业客户短期还款压力，采用年审制后，客户贷款到期无需还本，无形中降低了客户融资成本，更好地支持小微企业金融服务。</w:t>
      </w:r>
    </w:p>
    <w:p/>
    <w:sectPr>
      <w:headerReference r:id="rId3" w:type="default"/>
      <w:footerReference r:id="rId4" w:type="default"/>
      <w:pgSz w:w="16838" w:h="11906" w:orient="landscape"/>
      <w:pgMar w:top="1633" w:right="1440" w:bottom="1633"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256A8"/>
    <w:rsid w:val="00B256A8"/>
    <w:rsid w:val="00EF32FF"/>
    <w:rsid w:val="06823214"/>
    <w:rsid w:val="0C5E0342"/>
    <w:rsid w:val="0D167D35"/>
    <w:rsid w:val="0EA42055"/>
    <w:rsid w:val="1C7737D2"/>
    <w:rsid w:val="1DD87AD6"/>
    <w:rsid w:val="1DDC3364"/>
    <w:rsid w:val="1E4F257B"/>
    <w:rsid w:val="22FD7B45"/>
    <w:rsid w:val="261D10CE"/>
    <w:rsid w:val="30470CA3"/>
    <w:rsid w:val="39BC1AC6"/>
    <w:rsid w:val="3E364649"/>
    <w:rsid w:val="4180653C"/>
    <w:rsid w:val="44346382"/>
    <w:rsid w:val="461A0958"/>
    <w:rsid w:val="505F4499"/>
    <w:rsid w:val="57C46C6D"/>
    <w:rsid w:val="5C240D8E"/>
    <w:rsid w:val="62E621B6"/>
    <w:rsid w:val="64031568"/>
    <w:rsid w:val="646D0AB3"/>
    <w:rsid w:val="7D745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toc 3"/>
    <w:basedOn w:val="1"/>
    <w:next w:val="1"/>
    <w:unhideWhenUsed/>
    <w:qFormat/>
    <w:uiPriority w:val="39"/>
    <w:pPr>
      <w:keepNext w:val="0"/>
      <w:keepLines w:val="0"/>
      <w:widowControl w:val="0"/>
      <w:suppressLineNumbers w:val="0"/>
      <w:spacing w:before="0" w:beforeAutospacing="0" w:after="0" w:afterAutospacing="0"/>
      <w:ind w:left="840" w:leftChars="400" w:right="0"/>
      <w:jc w:val="both"/>
    </w:pPr>
    <w:rPr>
      <w:rFonts w:hint="default" w:ascii="Times New Roman" w:hAnsi="Times New Roman" w:eastAsia="宋体" w:cs="Times New Roman"/>
      <w:kern w:val="2"/>
      <w:sz w:val="21"/>
      <w:szCs w:val="22"/>
      <w:lang w:val="en-US" w:eastAsia="zh-CN" w:bidi="ar"/>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345</Words>
  <Characters>1967</Characters>
  <Lines>16</Lines>
  <Paragraphs>4</Paragraphs>
  <TotalTime>1</TotalTime>
  <ScaleCrop>false</ScaleCrop>
  <LinksUpToDate>false</LinksUpToDate>
  <CharactersWithSpaces>2308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2020-09-23T03:58:00Z</dcterms:created>
  <dc:creator>Administrator</dc:creator>
  <cp:lastModifiedBy>Administrator</cp:lastModifiedBy>
  <cp:lastPrinted>2020-10-21T03:23:00Z</cp:lastPrinted>
  <dcterms:modified xsi:type="dcterms:W3CDTF">2021-01-15T08:24:02Z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