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heme="minorEastAsia" w:hAnsiTheme="minorEastAsia" w:eastAsiaTheme="minorEastAsia" w:cstheme="minorBidi"/>
          <w:b/>
          <w:spacing w:val="0"/>
          <w:szCs w:val="44"/>
        </w:rPr>
      </w:pPr>
      <w:bookmarkStart w:id="0" w:name="_GoBack"/>
      <w:bookmarkEnd w:id="0"/>
      <w:r>
        <w:rPr>
          <w:rFonts w:hint="eastAsia" w:asciiTheme="minorEastAsia" w:hAnsiTheme="minorEastAsia" w:eastAsiaTheme="minorEastAsia" w:cstheme="minorBidi"/>
          <w:b/>
          <w:spacing w:val="0"/>
          <w:szCs w:val="44"/>
        </w:rPr>
        <w:t>泉州市产业引导优选合作基金</w:t>
      </w:r>
    </w:p>
    <w:p>
      <w:pPr>
        <w:spacing w:line="540" w:lineRule="exact"/>
        <w:rPr>
          <w:rFonts w:asciiTheme="minorEastAsia" w:hAnsiTheme="minorEastAsia" w:eastAsiaTheme="minorEastAsia" w:cstheme="minorBidi"/>
          <w:b/>
          <w:spacing w:val="0"/>
          <w:szCs w:val="44"/>
        </w:rPr>
      </w:pPr>
      <w:r>
        <w:rPr>
          <w:rFonts w:hint="eastAsia" w:asciiTheme="minorEastAsia" w:hAnsiTheme="minorEastAsia" w:eastAsiaTheme="minorEastAsia" w:cstheme="minorBidi"/>
          <w:b/>
          <w:spacing w:val="0"/>
          <w:szCs w:val="44"/>
        </w:rPr>
        <w:t>资源库管理办法</w:t>
      </w:r>
    </w:p>
    <w:p>
      <w:pPr>
        <w:pStyle w:val="6"/>
        <w:shd w:val="clear" w:color="auto" w:fill="FFFFFF"/>
        <w:spacing w:before="0" w:beforeAutospacing="0" w:after="0" w:afterAutospacing="0" w:line="360" w:lineRule="auto"/>
        <w:ind w:firstLine="340" w:firstLineChars="200"/>
        <w:rPr>
          <w:color w:val="3D3D3D"/>
          <w:sz w:val="17"/>
          <w:szCs w:val="17"/>
        </w:rPr>
      </w:pPr>
      <w:r>
        <w:rPr>
          <w:rFonts w:hint="eastAsia"/>
          <w:color w:val="3D3D3D"/>
          <w:sz w:val="17"/>
          <w:szCs w:val="17"/>
        </w:rPr>
        <w:t> </w:t>
      </w:r>
    </w:p>
    <w:p>
      <w:pPr>
        <w:pStyle w:val="6"/>
        <w:shd w:val="clear" w:color="auto" w:fill="FFFFFF"/>
        <w:spacing w:before="0" w:beforeAutospacing="0" w:after="0" w:afterAutospacing="0" w:line="360" w:lineRule="auto"/>
        <w:ind w:firstLine="640" w:firstLineChars="200"/>
        <w:rPr>
          <w:rFonts w:ascii="Times New Roman" w:hAnsi="Times New Roman" w:eastAsia="仿宋" w:cs="Times New Roman"/>
          <w:sz w:val="32"/>
          <w:szCs w:val="32"/>
        </w:rPr>
      </w:pPr>
      <w:r>
        <w:rPr>
          <w:rFonts w:hint="eastAsia" w:ascii="Times New Roman" w:hAnsi="仿宋" w:eastAsia="仿宋" w:cs="Times New Roman"/>
          <w:sz w:val="32"/>
          <w:szCs w:val="32"/>
        </w:rPr>
        <w:t>为加快建设泉州市产业引导优选合作基金资源库（以下简称</w:t>
      </w:r>
      <w:r>
        <w:rPr>
          <w:rFonts w:hint="eastAsia" w:ascii="Times New Roman" w:hAnsi="Times New Roman" w:eastAsia="仿宋" w:cs="Times New Roman"/>
          <w:sz w:val="32"/>
          <w:szCs w:val="32"/>
        </w:rPr>
        <w:t>“</w:t>
      </w:r>
      <w:r>
        <w:rPr>
          <w:rFonts w:hint="eastAsia" w:ascii="Times New Roman" w:hAnsi="仿宋" w:eastAsia="仿宋" w:cs="Times New Roman"/>
          <w:sz w:val="32"/>
          <w:szCs w:val="32"/>
        </w:rPr>
        <w:t>基金库</w:t>
      </w:r>
      <w:r>
        <w:rPr>
          <w:rFonts w:hint="eastAsia" w:ascii="Times New Roman" w:hAnsi="Times New Roman" w:eastAsia="仿宋" w:cs="Times New Roman"/>
          <w:sz w:val="32"/>
          <w:szCs w:val="32"/>
        </w:rPr>
        <w:t>”</w:t>
      </w:r>
      <w:r>
        <w:rPr>
          <w:rFonts w:hint="eastAsia" w:ascii="Times New Roman" w:hAnsi="仿宋" w:eastAsia="仿宋" w:cs="Times New Roman"/>
          <w:sz w:val="32"/>
          <w:szCs w:val="32"/>
        </w:rPr>
        <w:t>），建立长期有效的管理工作机制，制定公开、透明、导向明确的入库标准和清晰的申报流程，吸引、储备一批对泉州市优势传统产业和战略新兴产业链具备丰富投资经验和产业整合资源的基金或基金管理机构入库，推动库内资源的及时转化，建立资本与项目的双向融通渠道，服务泉州市实体经济高质量发展。特制订本办法。</w:t>
      </w:r>
    </w:p>
    <w:p>
      <w:pPr>
        <w:pStyle w:val="6"/>
        <w:numPr>
          <w:ilvl w:val="0"/>
          <w:numId w:val="1"/>
        </w:numPr>
        <w:shd w:val="clear" w:color="auto" w:fill="FFFFFF"/>
        <w:spacing w:before="0" w:beforeAutospacing="0" w:after="0" w:afterAutospacing="0" w:line="360" w:lineRule="auto"/>
        <w:ind w:left="1360" w:hanging="720"/>
        <w:rPr>
          <w:rFonts w:ascii="黑体" w:hAnsi="黑体" w:eastAsia="黑体" w:cs="黑体"/>
          <w:sz w:val="32"/>
          <w:szCs w:val="32"/>
        </w:rPr>
      </w:pPr>
      <w:r>
        <w:rPr>
          <w:rFonts w:hint="eastAsia" w:ascii="黑体" w:hAnsi="黑体" w:eastAsia="黑体" w:cs="黑体"/>
          <w:sz w:val="32"/>
          <w:szCs w:val="32"/>
        </w:rPr>
        <w:t>管理组织和工作职责</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泉州市产业引导优选合作</w:t>
      </w:r>
      <w:r>
        <w:rPr>
          <w:rFonts w:ascii="Times New Roman" w:hAnsi="仿宋" w:eastAsia="仿宋" w:cs="Times New Roman"/>
          <w:sz w:val="32"/>
          <w:szCs w:val="32"/>
        </w:rPr>
        <w:t>基金</w:t>
      </w:r>
      <w:r>
        <w:rPr>
          <w:rFonts w:hint="eastAsia" w:ascii="Times New Roman" w:hAnsi="仿宋" w:eastAsia="仿宋" w:cs="Times New Roman"/>
          <w:sz w:val="32"/>
          <w:szCs w:val="32"/>
        </w:rPr>
        <w:t>资源</w:t>
      </w:r>
      <w:r>
        <w:rPr>
          <w:rFonts w:ascii="Times New Roman" w:hAnsi="仿宋" w:eastAsia="仿宋" w:cs="Times New Roman"/>
          <w:sz w:val="32"/>
          <w:szCs w:val="32"/>
        </w:rPr>
        <w:t>库</w:t>
      </w:r>
      <w:r>
        <w:rPr>
          <w:rFonts w:hint="eastAsia" w:ascii="Times New Roman" w:hAnsi="仿宋" w:eastAsia="仿宋" w:cs="Times New Roman"/>
          <w:sz w:val="32"/>
          <w:szCs w:val="32"/>
        </w:rPr>
        <w:t>第一届工作委员会（以下简称“工作委员会”）由泉州市产业股权投资基金有限公司和泉州市海丝基金小镇商业运营管理有限公司联合组成，</w:t>
      </w:r>
      <w:r>
        <w:rPr>
          <w:rFonts w:ascii="Times New Roman" w:hAnsi="仿宋" w:eastAsia="仿宋" w:cs="Times New Roman"/>
          <w:sz w:val="32"/>
          <w:szCs w:val="32"/>
        </w:rPr>
        <w:t>负责</w:t>
      </w:r>
      <w:r>
        <w:rPr>
          <w:rFonts w:hint="eastAsia" w:ascii="Times New Roman" w:hAnsi="仿宋" w:eastAsia="仿宋" w:cs="Times New Roman"/>
          <w:sz w:val="32"/>
          <w:szCs w:val="32"/>
        </w:rPr>
        <w:t>申报机构审批及</w:t>
      </w:r>
      <w:r>
        <w:rPr>
          <w:rFonts w:hint="eastAsia" w:ascii="Times New Roman" w:hAnsi="仿宋" w:eastAsia="仿宋" w:cs="Times New Roman"/>
          <w:sz w:val="32"/>
          <w:szCs w:val="32"/>
          <w:lang w:eastAsia="zh-CN"/>
        </w:rPr>
        <w:t>基金</w:t>
      </w:r>
      <w:r>
        <w:rPr>
          <w:rFonts w:hint="eastAsia" w:ascii="Times New Roman" w:hAnsi="仿宋" w:eastAsia="仿宋" w:cs="Times New Roman"/>
          <w:sz w:val="32"/>
          <w:szCs w:val="32"/>
        </w:rPr>
        <w:t>库管理服务工作，工作委员会任期三年。</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工作委员会根据申报情况，定期筛选符合要求的合作机构入库，并报送泉州市金融监管局进行备案。工作委员会成员由泉州市产业股权投资基金有限公司、泉州市海丝基金小镇商业运营管理有限公司委派金融、财务、投资、法律等领域相关专业人士组成，具体人员安排根据实际需要调整。</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工作委员会下设办公室在泉州海丝基金小镇，负责申报入库材料初审、信息收集更新、入库企业服务以及其他日常事务。</w:t>
      </w:r>
    </w:p>
    <w:p>
      <w:pPr>
        <w:pStyle w:val="6"/>
        <w:numPr>
          <w:ilvl w:val="0"/>
          <w:numId w:val="1"/>
        </w:numPr>
        <w:shd w:val="clear" w:color="auto" w:fill="FFFFFF"/>
        <w:spacing w:before="0" w:beforeAutospacing="0" w:after="0" w:afterAutospacing="0" w:line="360" w:lineRule="auto"/>
        <w:ind w:left="1360" w:hanging="720"/>
        <w:rPr>
          <w:rFonts w:ascii="黑体" w:hAnsi="黑体" w:eastAsia="黑体" w:cs="黑体"/>
          <w:sz w:val="32"/>
          <w:szCs w:val="32"/>
        </w:rPr>
      </w:pPr>
      <w:r>
        <w:rPr>
          <w:rFonts w:hint="eastAsia" w:ascii="黑体" w:hAnsi="黑体" w:eastAsia="黑体" w:cs="黑体"/>
          <w:sz w:val="32"/>
          <w:szCs w:val="32"/>
        </w:rPr>
        <w:t>基金库日常管理机制</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ascii="Times New Roman" w:hAnsi="仿宋" w:eastAsia="仿宋" w:cs="Times New Roman"/>
          <w:sz w:val="32"/>
          <w:szCs w:val="32"/>
        </w:rPr>
        <w:t>1</w:t>
      </w:r>
      <w:r>
        <w:rPr>
          <w:rFonts w:hint="eastAsia" w:ascii="Times New Roman" w:hAnsi="仿宋" w:eastAsia="仿宋" w:cs="Times New Roman"/>
          <w:sz w:val="32"/>
          <w:szCs w:val="32"/>
        </w:rPr>
        <w:t>.基金机构入库分类：创业投资类（天使、</w:t>
      </w:r>
      <w:r>
        <w:rPr>
          <w:rFonts w:ascii="Times New Roman" w:hAnsi="仿宋" w:eastAsia="仿宋" w:cs="Times New Roman"/>
          <w:sz w:val="32"/>
          <w:szCs w:val="32"/>
        </w:rPr>
        <w:t>VC</w:t>
      </w:r>
      <w:r>
        <w:rPr>
          <w:rFonts w:hint="eastAsia" w:ascii="Times New Roman" w:hAnsi="仿宋" w:eastAsia="仿宋" w:cs="Times New Roman"/>
          <w:sz w:val="32"/>
          <w:szCs w:val="32"/>
        </w:rPr>
        <w:t>）、股权投资类（</w:t>
      </w:r>
      <w:r>
        <w:rPr>
          <w:rFonts w:ascii="Times New Roman" w:hAnsi="仿宋" w:eastAsia="仿宋" w:cs="Times New Roman"/>
          <w:sz w:val="32"/>
          <w:szCs w:val="32"/>
        </w:rPr>
        <w:t>PE</w:t>
      </w:r>
      <w:r>
        <w:rPr>
          <w:rFonts w:hint="eastAsia" w:ascii="Times New Roman" w:hAnsi="仿宋" w:eastAsia="仿宋" w:cs="Times New Roman"/>
          <w:sz w:val="32"/>
          <w:szCs w:val="32"/>
        </w:rPr>
        <w:t>）、产业投资类等三大类别。</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ascii="Times New Roman" w:hAnsi="仿宋" w:eastAsia="仿宋" w:cs="Times New Roman"/>
          <w:sz w:val="32"/>
          <w:szCs w:val="32"/>
        </w:rPr>
        <w:t>2</w:t>
      </w:r>
      <w:r>
        <w:rPr>
          <w:rFonts w:hint="eastAsia" w:ascii="Times New Roman" w:hAnsi="仿宋" w:eastAsia="仿宋" w:cs="Times New Roman"/>
          <w:sz w:val="32"/>
          <w:szCs w:val="32"/>
        </w:rPr>
        <w:t>.管理机制：采取入库备案登记制度。每季度更新一次新入库机构和存续机构情况清单，并向泉州市地方金融监督管理局报备，同时报送福建海峡基金业综合服务平台备案展示。对于无法配合后续更新的、或涉及违法违规和受有关部门处罚的、或涉及行业负面消息经查实的，应及时从库中剔除。</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ascii="Times New Roman" w:hAnsi="仿宋" w:eastAsia="仿宋" w:cs="Times New Roman"/>
          <w:sz w:val="32"/>
          <w:szCs w:val="32"/>
        </w:rPr>
        <w:t>3</w:t>
      </w:r>
      <w:r>
        <w:rPr>
          <w:rFonts w:hint="eastAsia" w:ascii="Times New Roman" w:hAnsi="仿宋" w:eastAsia="仿宋" w:cs="Times New Roman"/>
          <w:sz w:val="32"/>
          <w:szCs w:val="32"/>
        </w:rPr>
        <w:t>.沟通机制：定期向入库机构发送泉州经济产业简况和优质项目列表，根据各县市区报送项目投融资合作需求匹配相应的入库机构进行对接服务；定期跟踪并更新入库机构的投资动态；通过举办项目路演、资本对接会等活动增强沟通，掌握入库机构和融资项目等多方需求，促进互信合作。</w:t>
      </w:r>
    </w:p>
    <w:p>
      <w:pPr>
        <w:pStyle w:val="6"/>
        <w:numPr>
          <w:ilvl w:val="0"/>
          <w:numId w:val="1"/>
        </w:numPr>
        <w:shd w:val="clear" w:color="auto" w:fill="FFFFFF"/>
        <w:spacing w:before="0" w:beforeAutospacing="0" w:after="0" w:afterAutospacing="0" w:line="360" w:lineRule="auto"/>
        <w:ind w:left="1360" w:hanging="720"/>
        <w:rPr>
          <w:rFonts w:ascii="黑体" w:hAnsi="黑体" w:eastAsia="黑体" w:cs="黑体"/>
          <w:sz w:val="32"/>
          <w:szCs w:val="32"/>
        </w:rPr>
      </w:pPr>
      <w:r>
        <w:rPr>
          <w:rFonts w:hint="eastAsia" w:ascii="黑体" w:hAnsi="黑体" w:eastAsia="黑体" w:cs="黑体"/>
          <w:sz w:val="32"/>
          <w:szCs w:val="32"/>
        </w:rPr>
        <w:t>入库标准</w:t>
      </w:r>
    </w:p>
    <w:p>
      <w:pPr>
        <w:pStyle w:val="6"/>
        <w:numPr>
          <w:ilvl w:val="0"/>
          <w:numId w:val="0"/>
        </w:numPr>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进入基金库的基金或基金管理机构需符合以下标准：</w:t>
      </w:r>
    </w:p>
    <w:p>
      <w:pPr>
        <w:pStyle w:val="6"/>
        <w:numPr>
          <w:ilvl w:val="0"/>
          <w:numId w:val="0"/>
        </w:numPr>
        <w:shd w:val="clear" w:color="auto" w:fill="FFFFFF"/>
        <w:spacing w:before="0" w:beforeAutospacing="0" w:after="0" w:afterAutospacing="0" w:line="360" w:lineRule="auto"/>
        <w:ind w:firstLine="640" w:firstLineChars="200"/>
        <w:rPr>
          <w:rFonts w:ascii="Times New Roman" w:hAnsi="Times New Roman" w:eastAsia="楷体" w:cs="Times New Roman"/>
          <w:b w:val="0"/>
          <w:bCs w:val="0"/>
          <w:sz w:val="32"/>
          <w:szCs w:val="32"/>
        </w:rPr>
      </w:pPr>
      <w:r>
        <w:rPr>
          <w:rFonts w:hint="eastAsia" w:ascii="Times New Roman" w:hAnsi="楷体" w:eastAsia="楷体" w:cs="Times New Roman"/>
          <w:sz w:val="32"/>
          <w:szCs w:val="32"/>
        </w:rPr>
        <w:t>（一）</w:t>
      </w:r>
      <w:r>
        <w:rPr>
          <w:rFonts w:ascii="Times New Roman" w:hAnsi="楷体" w:eastAsia="楷体" w:cs="Times New Roman"/>
          <w:b w:val="0"/>
          <w:sz w:val="32"/>
          <w:szCs w:val="32"/>
        </w:rPr>
        <w:t>创业投资类</w:t>
      </w:r>
    </w:p>
    <w:p>
      <w:pPr>
        <w:pStyle w:val="6"/>
        <w:numPr>
          <w:ilvl w:val="0"/>
          <w:numId w:val="0"/>
        </w:numPr>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入库企业需同时满足以下条件：</w:t>
      </w:r>
    </w:p>
    <w:p>
      <w:pPr>
        <w:pStyle w:val="6"/>
        <w:numPr>
          <w:ilvl w:val="0"/>
          <w:numId w:val="0"/>
        </w:numPr>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1.累计管理规模</w:t>
      </w:r>
      <w:r>
        <w:rPr>
          <w:rFonts w:ascii="Times New Roman" w:hAnsi="仿宋" w:eastAsia="仿宋" w:cs="Times New Roman"/>
          <w:sz w:val="32"/>
          <w:szCs w:val="32"/>
        </w:rPr>
        <w:t>5000</w:t>
      </w:r>
      <w:r>
        <w:rPr>
          <w:rFonts w:hint="eastAsia" w:ascii="Times New Roman" w:hAnsi="仿宋" w:eastAsia="仿宋" w:cs="Times New Roman"/>
          <w:sz w:val="32"/>
          <w:szCs w:val="32"/>
        </w:rPr>
        <w:t>万元以上的或在本地急需发展的相关行业中投资项目数量超过</w:t>
      </w:r>
      <w:r>
        <w:rPr>
          <w:rFonts w:ascii="Times New Roman" w:hAnsi="仿宋" w:eastAsia="仿宋" w:cs="Times New Roman"/>
          <w:sz w:val="32"/>
          <w:szCs w:val="32"/>
        </w:rPr>
        <w:t>3</w:t>
      </w:r>
      <w:r>
        <w:rPr>
          <w:rFonts w:hint="eastAsia" w:ascii="Times New Roman" w:hAnsi="仿宋" w:eastAsia="仿宋" w:cs="Times New Roman"/>
          <w:sz w:val="32"/>
          <w:szCs w:val="32"/>
        </w:rPr>
        <w:t>个以上；具备成功投资退出案例；</w:t>
      </w:r>
    </w:p>
    <w:p>
      <w:pPr>
        <w:pStyle w:val="6"/>
        <w:numPr>
          <w:ilvl w:val="0"/>
          <w:numId w:val="0"/>
        </w:numPr>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2.管理的基金长期投向技术含量高、市场前景好、爆发力强的初创期、早中期的企业或项目；</w:t>
      </w:r>
    </w:p>
    <w:p>
      <w:pPr>
        <w:pStyle w:val="6"/>
        <w:numPr>
          <w:ilvl w:val="0"/>
          <w:numId w:val="0"/>
        </w:numPr>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3.管理团队具备对创业公司的孵化能力，或能提供资本市场增值服务（融资顾问服务、商业模式创新辅导等）；</w:t>
      </w:r>
    </w:p>
    <w:p>
      <w:pPr>
        <w:pStyle w:val="6"/>
        <w:numPr>
          <w:ilvl w:val="0"/>
          <w:numId w:val="0"/>
        </w:numPr>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4.基金管理机构在中国证券投资基金业协会备案，且基金管理机构及管理的基金近期内无违反法律规定，无由于产生风险或造成不良影响而受有关部门处罚。</w:t>
      </w:r>
    </w:p>
    <w:p>
      <w:pPr>
        <w:pStyle w:val="6"/>
        <w:numPr>
          <w:ilvl w:val="0"/>
          <w:numId w:val="0"/>
        </w:numPr>
        <w:shd w:val="clear" w:color="auto" w:fill="FFFFFF"/>
        <w:spacing w:before="0" w:beforeAutospacing="0" w:after="0" w:afterAutospacing="0" w:line="360" w:lineRule="auto"/>
        <w:ind w:firstLine="640" w:firstLineChars="200"/>
        <w:rPr>
          <w:rFonts w:ascii="Times New Roman" w:hAnsi="楷体" w:eastAsia="楷体" w:cs="Times New Roman"/>
          <w:sz w:val="32"/>
          <w:szCs w:val="32"/>
        </w:rPr>
      </w:pPr>
      <w:r>
        <w:rPr>
          <w:rFonts w:hint="eastAsia" w:ascii="Times New Roman" w:hAnsi="楷体" w:eastAsia="楷体" w:cs="Times New Roman"/>
          <w:sz w:val="32"/>
          <w:szCs w:val="32"/>
        </w:rPr>
        <w:t>（二）股权投资类</w:t>
      </w:r>
    </w:p>
    <w:p>
      <w:pPr>
        <w:pStyle w:val="6"/>
        <w:numPr>
          <w:ilvl w:val="0"/>
          <w:numId w:val="0"/>
        </w:numPr>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入库企业需同时满足以下条件：</w:t>
      </w:r>
    </w:p>
    <w:p>
      <w:pPr>
        <w:pStyle w:val="6"/>
        <w:numPr>
          <w:ilvl w:val="0"/>
          <w:numId w:val="0"/>
        </w:numPr>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ascii="Times New Roman" w:hAnsi="仿宋" w:eastAsia="仿宋" w:cs="Times New Roman"/>
          <w:sz w:val="32"/>
          <w:szCs w:val="32"/>
        </w:rPr>
        <w:t>1</w:t>
      </w:r>
      <w:r>
        <w:rPr>
          <w:rFonts w:hint="eastAsia" w:ascii="Times New Roman" w:hAnsi="仿宋" w:eastAsia="仿宋" w:cs="Times New Roman"/>
          <w:sz w:val="32"/>
          <w:szCs w:val="32"/>
        </w:rPr>
        <w:t>.累计管理规模</w:t>
      </w:r>
      <w:r>
        <w:rPr>
          <w:rFonts w:ascii="Times New Roman" w:hAnsi="仿宋" w:eastAsia="仿宋" w:cs="Times New Roman"/>
          <w:sz w:val="32"/>
          <w:szCs w:val="32"/>
        </w:rPr>
        <w:t>3</w:t>
      </w:r>
      <w:r>
        <w:rPr>
          <w:rFonts w:hint="eastAsia" w:ascii="Times New Roman" w:hAnsi="仿宋" w:eastAsia="仿宋" w:cs="Times New Roman"/>
          <w:sz w:val="32"/>
          <w:szCs w:val="32"/>
        </w:rPr>
        <w:t>亿元以上或在泉州市投资金额超过</w:t>
      </w:r>
      <w:r>
        <w:rPr>
          <w:rFonts w:ascii="Times New Roman" w:hAnsi="仿宋" w:eastAsia="仿宋" w:cs="Times New Roman"/>
          <w:sz w:val="32"/>
          <w:szCs w:val="32"/>
        </w:rPr>
        <w:t>2000</w:t>
      </w:r>
      <w:r>
        <w:rPr>
          <w:rFonts w:hint="eastAsia" w:ascii="Times New Roman" w:hAnsi="仿宋" w:eastAsia="仿宋" w:cs="Times New Roman"/>
          <w:sz w:val="32"/>
          <w:szCs w:val="32"/>
        </w:rPr>
        <w:t>万元；具备</w:t>
      </w:r>
      <w:r>
        <w:rPr>
          <w:rFonts w:ascii="Times New Roman" w:hAnsi="仿宋" w:eastAsia="仿宋" w:cs="Times New Roman"/>
          <w:sz w:val="32"/>
          <w:szCs w:val="32"/>
        </w:rPr>
        <w:t>3</w:t>
      </w:r>
      <w:r>
        <w:rPr>
          <w:rFonts w:hint="eastAsia" w:ascii="Times New Roman" w:hAnsi="仿宋" w:eastAsia="仿宋" w:cs="Times New Roman"/>
          <w:sz w:val="32"/>
          <w:szCs w:val="32"/>
        </w:rPr>
        <w:t>个以上成功投资退出案例；</w:t>
      </w:r>
    </w:p>
    <w:p>
      <w:pPr>
        <w:pStyle w:val="6"/>
        <w:numPr>
          <w:ilvl w:val="0"/>
          <w:numId w:val="0"/>
        </w:numPr>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ascii="Times New Roman" w:hAnsi="仿宋" w:eastAsia="仿宋" w:cs="Times New Roman"/>
          <w:sz w:val="32"/>
          <w:szCs w:val="32"/>
        </w:rPr>
        <w:t>2</w:t>
      </w:r>
      <w:r>
        <w:rPr>
          <w:rFonts w:hint="eastAsia" w:ascii="Times New Roman" w:hAnsi="仿宋" w:eastAsia="仿宋" w:cs="Times New Roman"/>
          <w:sz w:val="32"/>
          <w:szCs w:val="32"/>
        </w:rPr>
        <w:t>.管理的基金主要投向为新一代信息技术、高端装备、智能制造、新材料、新能源、节能环保、现代物流、现代农业、生物医药大健康、大消费、文旅服务及数字经济等领域的</w:t>
      </w:r>
      <w:r>
        <w:rPr>
          <w:rFonts w:ascii="Times New Roman" w:hAnsi="仿宋" w:eastAsia="仿宋" w:cs="Times New Roman"/>
          <w:sz w:val="32"/>
          <w:szCs w:val="32"/>
        </w:rPr>
        <w:t>企业</w:t>
      </w:r>
      <w:r>
        <w:rPr>
          <w:rFonts w:hint="eastAsia" w:ascii="Times New Roman" w:hAnsi="仿宋" w:eastAsia="仿宋" w:cs="Times New Roman"/>
          <w:sz w:val="32"/>
          <w:szCs w:val="32"/>
        </w:rPr>
        <w:t>或项目；</w:t>
      </w:r>
    </w:p>
    <w:p>
      <w:pPr>
        <w:pStyle w:val="6"/>
        <w:numPr>
          <w:ilvl w:val="0"/>
          <w:numId w:val="0"/>
        </w:numPr>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ascii="Times New Roman" w:hAnsi="仿宋" w:eastAsia="仿宋" w:cs="Times New Roman"/>
          <w:sz w:val="32"/>
          <w:szCs w:val="32"/>
        </w:rPr>
        <w:t>3</w:t>
      </w:r>
      <w:r>
        <w:rPr>
          <w:rFonts w:hint="eastAsia" w:ascii="Times New Roman" w:hAnsi="仿宋" w:eastAsia="仿宋" w:cs="Times New Roman"/>
          <w:sz w:val="32"/>
          <w:szCs w:val="32"/>
        </w:rPr>
        <w:t>.管理团队在产业升级改造或商业模式创新上具备相关经验，已投项目或其他储备资源能与泉州本土产业规划协同发展；</w:t>
      </w:r>
    </w:p>
    <w:p>
      <w:pPr>
        <w:pStyle w:val="6"/>
        <w:numPr>
          <w:ilvl w:val="0"/>
          <w:numId w:val="0"/>
        </w:numPr>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ascii="Times New Roman" w:hAnsi="仿宋" w:eastAsia="仿宋" w:cs="Times New Roman"/>
          <w:sz w:val="32"/>
          <w:szCs w:val="32"/>
        </w:rPr>
        <w:t>4</w:t>
      </w:r>
      <w:r>
        <w:rPr>
          <w:rFonts w:hint="eastAsia" w:ascii="Times New Roman" w:hAnsi="仿宋" w:eastAsia="仿宋" w:cs="Times New Roman"/>
          <w:sz w:val="32"/>
          <w:szCs w:val="32"/>
        </w:rPr>
        <w:t>.基金管理机构在中国证券投资基金业协会备案，且基金管理机构及管理的基金近期内无违反法律规定，无由于产生风险或造成不良影响而受有关部门处罚。</w:t>
      </w:r>
    </w:p>
    <w:p>
      <w:pPr>
        <w:pStyle w:val="6"/>
        <w:numPr>
          <w:ilvl w:val="0"/>
          <w:numId w:val="0"/>
        </w:numPr>
        <w:shd w:val="clear" w:color="auto" w:fill="FFFFFF"/>
        <w:spacing w:before="0" w:beforeAutospacing="0" w:after="0" w:afterAutospacing="0" w:line="360" w:lineRule="auto"/>
        <w:ind w:firstLine="640" w:firstLineChars="200"/>
        <w:rPr>
          <w:rFonts w:ascii="Times New Roman" w:hAnsi="楷体" w:eastAsia="楷体" w:cs="Times New Roman"/>
          <w:sz w:val="32"/>
          <w:szCs w:val="32"/>
        </w:rPr>
      </w:pPr>
      <w:r>
        <w:rPr>
          <w:rFonts w:hint="eastAsia" w:ascii="Times New Roman" w:hAnsi="楷体" w:eastAsia="楷体" w:cs="Times New Roman"/>
          <w:sz w:val="32"/>
          <w:szCs w:val="32"/>
        </w:rPr>
        <w:t>（三）产业投资类</w:t>
      </w:r>
    </w:p>
    <w:p>
      <w:pPr>
        <w:pStyle w:val="6"/>
        <w:numPr>
          <w:ilvl w:val="0"/>
          <w:numId w:val="0"/>
        </w:numPr>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入库企业需同时满足以下条件：</w:t>
      </w:r>
    </w:p>
    <w:p>
      <w:pPr>
        <w:pStyle w:val="6"/>
        <w:numPr>
          <w:ilvl w:val="0"/>
          <w:numId w:val="0"/>
        </w:numPr>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ascii="Times New Roman" w:hAnsi="仿宋" w:eastAsia="仿宋" w:cs="Times New Roman"/>
          <w:sz w:val="32"/>
          <w:szCs w:val="32"/>
        </w:rPr>
        <w:t>1</w:t>
      </w:r>
      <w:r>
        <w:rPr>
          <w:rFonts w:hint="eastAsia" w:ascii="Times New Roman" w:hAnsi="仿宋" w:eastAsia="仿宋" w:cs="Times New Roman"/>
          <w:sz w:val="32"/>
          <w:szCs w:val="32"/>
        </w:rPr>
        <w:t>.累计投资规模</w:t>
      </w:r>
      <w:r>
        <w:rPr>
          <w:rFonts w:ascii="Times New Roman" w:hAnsi="仿宋" w:eastAsia="仿宋" w:cs="Times New Roman"/>
          <w:sz w:val="32"/>
          <w:szCs w:val="32"/>
        </w:rPr>
        <w:t>10</w:t>
      </w:r>
      <w:r>
        <w:rPr>
          <w:rFonts w:hint="eastAsia" w:ascii="Times New Roman" w:hAnsi="仿宋" w:eastAsia="仿宋" w:cs="Times New Roman"/>
          <w:sz w:val="32"/>
          <w:szCs w:val="32"/>
        </w:rPr>
        <w:t>亿元以上或在泉州市投资金额超过</w:t>
      </w:r>
      <w:r>
        <w:rPr>
          <w:rFonts w:ascii="Times New Roman" w:hAnsi="仿宋" w:eastAsia="仿宋" w:cs="Times New Roman"/>
          <w:sz w:val="32"/>
          <w:szCs w:val="32"/>
        </w:rPr>
        <w:t>5000</w:t>
      </w:r>
      <w:r>
        <w:rPr>
          <w:rFonts w:hint="eastAsia" w:ascii="Times New Roman" w:hAnsi="仿宋" w:eastAsia="仿宋" w:cs="Times New Roman"/>
          <w:sz w:val="32"/>
          <w:szCs w:val="32"/>
        </w:rPr>
        <w:t>万以上，所投产业链上下游能与泉州产业发展协同，共同助力产业发展；具备</w:t>
      </w:r>
      <w:r>
        <w:rPr>
          <w:rFonts w:ascii="Times New Roman" w:hAnsi="仿宋" w:eastAsia="仿宋" w:cs="Times New Roman"/>
          <w:sz w:val="32"/>
          <w:szCs w:val="32"/>
        </w:rPr>
        <w:t>3</w:t>
      </w:r>
      <w:r>
        <w:rPr>
          <w:rFonts w:hint="eastAsia" w:ascii="Times New Roman" w:hAnsi="仿宋" w:eastAsia="仿宋" w:cs="Times New Roman"/>
          <w:sz w:val="32"/>
          <w:szCs w:val="32"/>
        </w:rPr>
        <w:t>个以上成功投资退出案例；</w:t>
      </w:r>
    </w:p>
    <w:p>
      <w:pPr>
        <w:pStyle w:val="6"/>
        <w:numPr>
          <w:ilvl w:val="0"/>
          <w:numId w:val="0"/>
        </w:numPr>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ascii="Times New Roman" w:hAnsi="仿宋" w:eastAsia="仿宋" w:cs="Times New Roman"/>
          <w:sz w:val="32"/>
          <w:szCs w:val="32"/>
        </w:rPr>
        <w:t>2</w:t>
      </w:r>
      <w:r>
        <w:rPr>
          <w:rFonts w:hint="eastAsia" w:ascii="Times New Roman" w:hAnsi="仿宋" w:eastAsia="仿宋" w:cs="Times New Roman"/>
          <w:sz w:val="32"/>
          <w:szCs w:val="32"/>
        </w:rPr>
        <w:t>.管理的基金主要投向与泉州新兴产业相关，如半导体、新材料、人工智能、新一代信息技术等领域，已投项目或储备项目可落地泉州，共同助力产业发展；</w:t>
      </w:r>
    </w:p>
    <w:p>
      <w:pPr>
        <w:pStyle w:val="6"/>
        <w:numPr>
          <w:ilvl w:val="0"/>
          <w:numId w:val="0"/>
        </w:numPr>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ascii="Times New Roman" w:hAnsi="仿宋" w:eastAsia="仿宋" w:cs="Times New Roman"/>
          <w:sz w:val="32"/>
          <w:szCs w:val="32"/>
        </w:rPr>
        <w:t>3</w:t>
      </w:r>
      <w:r>
        <w:rPr>
          <w:rFonts w:hint="eastAsia" w:ascii="Times New Roman" w:hAnsi="仿宋" w:eastAsia="仿宋" w:cs="Times New Roman"/>
          <w:sz w:val="32"/>
          <w:szCs w:val="32"/>
        </w:rPr>
        <w:t>.能协助地方政府或国有企业根据自身发展需求成立产业母基金或专项子基金，共同投资特定领域项目；</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ascii="Times New Roman" w:hAnsi="仿宋" w:eastAsia="仿宋" w:cs="Times New Roman"/>
          <w:sz w:val="32"/>
          <w:szCs w:val="32"/>
        </w:rPr>
        <w:t>4</w:t>
      </w:r>
      <w:r>
        <w:rPr>
          <w:rFonts w:hint="eastAsia" w:ascii="Times New Roman" w:hAnsi="仿宋" w:eastAsia="仿宋" w:cs="Times New Roman"/>
          <w:sz w:val="32"/>
          <w:szCs w:val="32"/>
        </w:rPr>
        <w:t>.基金管理机构在中国证券投资基金业协会备案，且基金管理机构及管理的基金近期内无违反法律规定，无由于产生风险或造成不良影响而受有关部门处罚。</w:t>
      </w:r>
    </w:p>
    <w:p>
      <w:pPr>
        <w:pStyle w:val="6"/>
        <w:numPr>
          <w:ilvl w:val="0"/>
          <w:numId w:val="1"/>
        </w:numPr>
        <w:shd w:val="clear" w:color="auto" w:fill="FFFFFF"/>
        <w:spacing w:before="0" w:beforeAutospacing="0" w:after="0" w:afterAutospacing="0" w:line="360" w:lineRule="auto"/>
        <w:ind w:left="1360" w:hanging="720"/>
        <w:rPr>
          <w:rFonts w:ascii="黑体" w:hAnsi="黑体" w:eastAsia="黑体" w:cs="黑体"/>
          <w:sz w:val="32"/>
          <w:szCs w:val="32"/>
        </w:rPr>
      </w:pPr>
      <w:r>
        <w:rPr>
          <w:rFonts w:hint="eastAsia" w:ascii="黑体" w:hAnsi="黑体" w:eastAsia="黑体" w:cs="黑体"/>
          <w:color w:val="auto"/>
          <w:sz w:val="32"/>
          <w:szCs w:val="32"/>
          <w:u w:val="none"/>
        </w:rPr>
        <w:t>入库申报</w:t>
      </w:r>
      <w:r>
        <w:rPr>
          <w:rFonts w:hint="eastAsia" w:ascii="黑体" w:hAnsi="黑体" w:eastAsia="黑体" w:cs="黑体"/>
          <w:sz w:val="32"/>
          <w:szCs w:val="32"/>
        </w:rPr>
        <w:t>评审</w:t>
      </w:r>
      <w:r>
        <w:rPr>
          <w:rFonts w:hint="eastAsia" w:ascii="黑体" w:hAnsi="黑体" w:eastAsia="黑体" w:cs="黑体"/>
          <w:color w:val="auto"/>
          <w:sz w:val="32"/>
          <w:szCs w:val="32"/>
          <w:u w:val="none"/>
        </w:rPr>
        <w:t>流程</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ascii="Times New Roman" w:hAnsi="仿宋" w:eastAsia="仿宋" w:cs="Times New Roman"/>
          <w:sz w:val="32"/>
          <w:szCs w:val="32"/>
        </w:rPr>
        <w:t>1.</w:t>
      </w:r>
      <w:r>
        <w:rPr>
          <w:rFonts w:hint="eastAsia" w:ascii="Times New Roman" w:hAnsi="仿宋" w:eastAsia="仿宋" w:cs="Times New Roman"/>
          <w:sz w:val="32"/>
          <w:szCs w:val="32"/>
        </w:rPr>
        <w:t>申报机构提交电子版申请资料后，由工作委员会办公室按照本管理办法第三条“入库标准”对申报材料按照完整性、合规性原则进行初审；</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ascii="Times New Roman" w:hAnsi="仿宋" w:eastAsia="仿宋" w:cs="Times New Roman"/>
          <w:sz w:val="32"/>
          <w:szCs w:val="32"/>
        </w:rPr>
        <w:t>2.</w:t>
      </w:r>
      <w:r>
        <w:rPr>
          <w:rFonts w:hint="eastAsia" w:ascii="Times New Roman" w:hAnsi="仿宋" w:eastAsia="仿宋" w:cs="Times New Roman"/>
          <w:sz w:val="32"/>
          <w:szCs w:val="32"/>
        </w:rPr>
        <w:t>初审通过后，由办公室提交工作</w:t>
      </w:r>
      <w:r>
        <w:rPr>
          <w:rFonts w:hint="eastAsia" w:ascii="Times New Roman" w:hAnsi="仿宋" w:eastAsia="仿宋" w:cs="Times New Roman"/>
          <w:sz w:val="32"/>
          <w:szCs w:val="32"/>
          <w:lang w:val="en-US" w:eastAsia="zh-CN"/>
        </w:rPr>
        <w:t>委员</w:t>
      </w:r>
      <w:r>
        <w:rPr>
          <w:rFonts w:hint="eastAsia" w:ascii="Times New Roman" w:hAnsi="仿宋" w:eastAsia="仿宋" w:cs="Times New Roman"/>
          <w:sz w:val="32"/>
          <w:szCs w:val="32"/>
        </w:rPr>
        <w:t>会复核批准入库；</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ascii="Times New Roman" w:hAnsi="仿宋" w:eastAsia="仿宋" w:cs="Times New Roman"/>
          <w:sz w:val="32"/>
          <w:szCs w:val="32"/>
        </w:rPr>
        <w:t>3.</w:t>
      </w:r>
      <w:r>
        <w:rPr>
          <w:rFonts w:hint="eastAsia" w:ascii="Times New Roman" w:hAnsi="仿宋" w:eastAsia="仿宋" w:cs="Times New Roman"/>
          <w:sz w:val="32"/>
          <w:szCs w:val="32"/>
        </w:rPr>
        <w:t>申报机构提交入库申报表纸质版（加盖公章）并正式入库；</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ascii="Times New Roman" w:hAnsi="仿宋" w:eastAsia="仿宋" w:cs="Times New Roman"/>
          <w:sz w:val="32"/>
          <w:szCs w:val="32"/>
        </w:rPr>
        <w:t>4.</w:t>
      </w:r>
      <w:r>
        <w:rPr>
          <w:rFonts w:hint="eastAsia" w:ascii="Times New Roman" w:hAnsi="仿宋" w:eastAsia="仿宋" w:cs="Times New Roman"/>
          <w:sz w:val="32"/>
          <w:szCs w:val="32"/>
        </w:rPr>
        <w:t>工作委员会每季度向泉州市地方金融监督管理局报送新入库机构信息并对原有基金库信息进行动态更新。同时报送福建海峡基金业综合服务平台备案。</w:t>
      </w:r>
    </w:p>
    <w:p>
      <w:pPr>
        <w:pStyle w:val="6"/>
        <w:numPr>
          <w:ilvl w:val="0"/>
          <w:numId w:val="1"/>
        </w:numPr>
        <w:shd w:val="clear" w:color="auto" w:fill="FFFFFF"/>
        <w:spacing w:before="0" w:beforeAutospacing="0" w:after="0" w:afterAutospacing="0" w:line="360" w:lineRule="auto"/>
        <w:ind w:hanging="720" w:firstLineChars="0"/>
        <w:rPr>
          <w:rFonts w:ascii="黑体" w:hAnsi="黑体" w:eastAsia="黑体" w:cs="黑体"/>
          <w:sz w:val="32"/>
          <w:szCs w:val="32"/>
        </w:rPr>
      </w:pPr>
      <w:r>
        <w:rPr>
          <w:rFonts w:ascii="Times New Roman" w:hAnsi="仿宋" w:eastAsia="仿宋" w:cs="Times New Roman"/>
          <w:sz w:val="32"/>
          <w:szCs w:val="32"/>
        </w:rPr>
        <w:t xml:space="preserve"> </w:t>
      </w:r>
      <w:r>
        <w:rPr>
          <w:rFonts w:hint="eastAsia" w:ascii="黑体" w:hAnsi="黑体" w:eastAsia="黑体" w:cs="黑体"/>
          <w:color w:val="auto"/>
          <w:sz w:val="32"/>
          <w:szCs w:val="32"/>
          <w:u w:val="none"/>
        </w:rPr>
        <w:t>申请入库</w:t>
      </w:r>
      <w:r>
        <w:rPr>
          <w:rFonts w:hint="eastAsia" w:ascii="黑体" w:hAnsi="黑体" w:eastAsia="黑体" w:cs="黑体"/>
          <w:sz w:val="32"/>
          <w:szCs w:val="32"/>
        </w:rPr>
        <w:t>材料清单</w:t>
      </w:r>
    </w:p>
    <w:p>
      <w:pPr>
        <w:pStyle w:val="6"/>
        <w:shd w:val="clear" w:color="auto" w:fill="FFFFFF"/>
        <w:spacing w:before="0" w:beforeAutospacing="0" w:after="0" w:afterAutospacing="0" w:line="360" w:lineRule="auto"/>
        <w:ind w:firstLine="640" w:firstLineChars="200"/>
        <w:rPr>
          <w:rFonts w:ascii="Times New Roman" w:hAnsi="仿宋" w:eastAsia="仿宋" w:cs="Times New Roman"/>
          <w:bCs w:val="0"/>
          <w:sz w:val="32"/>
          <w:szCs w:val="32"/>
        </w:rPr>
      </w:pPr>
      <w:r>
        <w:rPr>
          <w:rFonts w:ascii="Times New Roman" w:hAnsi="仿宋" w:eastAsia="仿宋" w:cs="Times New Roman"/>
          <w:color w:val="auto"/>
          <w:sz w:val="32"/>
          <w:szCs w:val="32"/>
          <w:u w:val="none"/>
        </w:rPr>
        <w:t>1</w:t>
      </w:r>
      <w:r>
        <w:rPr>
          <w:rFonts w:hint="eastAsia" w:ascii="Times New Roman" w:hAnsi="仿宋" w:eastAsia="仿宋" w:cs="Times New Roman"/>
          <w:sz w:val="32"/>
          <w:szCs w:val="32"/>
        </w:rPr>
        <w:t>.</w:t>
      </w:r>
      <w:r>
        <w:rPr>
          <w:rFonts w:hint="eastAsia" w:ascii="Times New Roman" w:hAnsi="仿宋" w:eastAsia="仿宋" w:cs="Times New Roman"/>
          <w:color w:val="auto"/>
          <w:sz w:val="32"/>
          <w:szCs w:val="32"/>
          <w:u w:val="none"/>
        </w:rPr>
        <w:t>《泉州市产业引导优选合作基金资源库</w:t>
      </w:r>
      <w:r>
        <w:rPr>
          <w:rFonts w:hint="eastAsia" w:ascii="Times New Roman" w:hAnsi="仿宋" w:eastAsia="仿宋" w:cs="Times New Roman"/>
          <w:bCs w:val="0"/>
          <w:color w:val="auto"/>
          <w:sz w:val="32"/>
          <w:szCs w:val="32"/>
          <w:u w:val="none"/>
        </w:rPr>
        <w:t>入库</w:t>
      </w:r>
      <w:r>
        <w:rPr>
          <w:rFonts w:ascii="Times New Roman" w:hAnsi="仿宋" w:eastAsia="仿宋" w:cs="Times New Roman"/>
          <w:bCs w:val="0"/>
          <w:color w:val="auto"/>
          <w:sz w:val="32"/>
          <w:szCs w:val="32"/>
          <w:u w:val="none"/>
        </w:rPr>
        <w:t>申请书</w:t>
      </w:r>
      <w:r>
        <w:rPr>
          <w:rFonts w:hint="eastAsia" w:ascii="Times New Roman" w:hAnsi="仿宋" w:eastAsia="仿宋" w:cs="Times New Roman"/>
          <w:bCs w:val="0"/>
          <w:color w:val="auto"/>
          <w:sz w:val="32"/>
          <w:szCs w:val="32"/>
          <w:u w:val="none"/>
        </w:rPr>
        <w:t>》</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ascii="Times New Roman" w:hAnsi="仿宋" w:eastAsia="仿宋" w:cs="Times New Roman"/>
          <w:color w:val="auto"/>
          <w:sz w:val="32"/>
          <w:szCs w:val="32"/>
          <w:u w:val="none"/>
        </w:rPr>
        <w:t>2</w:t>
      </w:r>
      <w:r>
        <w:rPr>
          <w:rFonts w:hint="eastAsia" w:ascii="Times New Roman" w:hAnsi="仿宋" w:eastAsia="仿宋" w:cs="Times New Roman"/>
          <w:sz w:val="32"/>
          <w:szCs w:val="32"/>
        </w:rPr>
        <w:t>.</w:t>
      </w:r>
      <w:r>
        <w:rPr>
          <w:rFonts w:hint="eastAsia" w:ascii="Times New Roman" w:hAnsi="仿宋" w:eastAsia="仿宋" w:cs="Times New Roman"/>
          <w:color w:val="auto"/>
          <w:sz w:val="32"/>
          <w:szCs w:val="32"/>
          <w:u w:val="none"/>
        </w:rPr>
        <w:t>《</w:t>
      </w:r>
      <w:r>
        <w:rPr>
          <w:rFonts w:ascii="Times New Roman" w:hAnsi="仿宋" w:eastAsia="仿宋" w:cs="Times New Roman"/>
          <w:bCs w:val="0"/>
          <w:color w:val="auto"/>
          <w:sz w:val="32"/>
          <w:szCs w:val="32"/>
          <w:u w:val="none"/>
        </w:rPr>
        <w:t>申请机构基本情况表</w:t>
      </w:r>
      <w:r>
        <w:rPr>
          <w:rFonts w:hint="eastAsia" w:ascii="Times New Roman" w:hAnsi="仿宋" w:eastAsia="仿宋" w:cs="Times New Roman"/>
          <w:color w:val="auto"/>
          <w:sz w:val="32"/>
          <w:szCs w:val="32"/>
          <w:u w:val="none"/>
        </w:rPr>
        <w:t>》</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ascii="Times New Roman" w:hAnsi="仿宋" w:eastAsia="仿宋" w:cs="Times New Roman"/>
          <w:color w:val="auto"/>
          <w:sz w:val="32"/>
          <w:szCs w:val="32"/>
          <w:u w:val="none"/>
        </w:rPr>
        <w:t>3</w:t>
      </w:r>
      <w:r>
        <w:rPr>
          <w:rFonts w:hint="eastAsia" w:ascii="Times New Roman" w:hAnsi="仿宋" w:eastAsia="仿宋" w:cs="Times New Roman"/>
          <w:sz w:val="32"/>
          <w:szCs w:val="32"/>
        </w:rPr>
        <w:t>.</w:t>
      </w:r>
      <w:r>
        <w:rPr>
          <w:rFonts w:hint="eastAsia" w:ascii="Times New Roman" w:hAnsi="仿宋" w:eastAsia="仿宋" w:cs="Times New Roman"/>
          <w:color w:val="auto"/>
          <w:sz w:val="32"/>
          <w:szCs w:val="32"/>
          <w:u w:val="none"/>
        </w:rPr>
        <w:t>《申请机构</w:t>
      </w:r>
      <w:r>
        <w:rPr>
          <w:rFonts w:ascii="Times New Roman" w:hAnsi="仿宋" w:eastAsia="仿宋" w:cs="Times New Roman"/>
          <w:bCs w:val="0"/>
          <w:color w:val="auto"/>
          <w:sz w:val="32"/>
          <w:szCs w:val="32"/>
          <w:u w:val="none"/>
        </w:rPr>
        <w:t>团队</w:t>
      </w:r>
      <w:r>
        <w:rPr>
          <w:rFonts w:hint="eastAsia" w:ascii="Times New Roman" w:hAnsi="仿宋" w:eastAsia="仿宋" w:cs="Times New Roman"/>
          <w:bCs w:val="0"/>
          <w:color w:val="auto"/>
          <w:sz w:val="32"/>
          <w:szCs w:val="32"/>
          <w:u w:val="none"/>
        </w:rPr>
        <w:t>主要人员</w:t>
      </w:r>
      <w:r>
        <w:rPr>
          <w:rFonts w:ascii="Times New Roman" w:hAnsi="仿宋" w:eastAsia="仿宋" w:cs="Times New Roman"/>
          <w:bCs w:val="0"/>
          <w:color w:val="auto"/>
          <w:sz w:val="32"/>
          <w:szCs w:val="32"/>
          <w:u w:val="none"/>
        </w:rPr>
        <w:t>情况表</w:t>
      </w:r>
      <w:r>
        <w:rPr>
          <w:rFonts w:hint="eastAsia" w:ascii="Times New Roman" w:hAnsi="仿宋" w:eastAsia="仿宋" w:cs="Times New Roman"/>
          <w:color w:val="auto"/>
          <w:sz w:val="32"/>
          <w:szCs w:val="32"/>
          <w:u w:val="none"/>
        </w:rPr>
        <w:t>》</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ascii="Times New Roman" w:hAnsi="仿宋" w:eastAsia="仿宋" w:cs="Times New Roman"/>
          <w:color w:val="auto"/>
          <w:sz w:val="32"/>
          <w:szCs w:val="32"/>
          <w:u w:val="none"/>
        </w:rPr>
        <w:t>4</w:t>
      </w:r>
      <w:r>
        <w:rPr>
          <w:rFonts w:hint="eastAsia" w:ascii="Times New Roman" w:hAnsi="仿宋" w:eastAsia="仿宋" w:cs="Times New Roman"/>
          <w:sz w:val="32"/>
          <w:szCs w:val="32"/>
        </w:rPr>
        <w:t>.</w:t>
      </w:r>
      <w:r>
        <w:rPr>
          <w:rFonts w:hint="eastAsia" w:ascii="Times New Roman" w:hAnsi="仿宋" w:eastAsia="仿宋" w:cs="Times New Roman"/>
          <w:color w:val="auto"/>
          <w:sz w:val="32"/>
          <w:szCs w:val="32"/>
          <w:u w:val="none"/>
        </w:rPr>
        <w:t>《申请机构所管理基金情况介绍》</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ascii="Times New Roman" w:hAnsi="仿宋" w:eastAsia="仿宋" w:cs="Times New Roman"/>
          <w:color w:val="auto"/>
          <w:sz w:val="32"/>
          <w:szCs w:val="32"/>
          <w:u w:val="none"/>
        </w:rPr>
        <w:t>5</w:t>
      </w:r>
      <w:r>
        <w:rPr>
          <w:rFonts w:hint="eastAsia" w:ascii="Times New Roman" w:hAnsi="仿宋" w:eastAsia="仿宋" w:cs="Times New Roman"/>
          <w:sz w:val="32"/>
          <w:szCs w:val="32"/>
        </w:rPr>
        <w:t>.</w:t>
      </w:r>
      <w:r>
        <w:rPr>
          <w:rFonts w:hint="eastAsia" w:ascii="Times New Roman" w:hAnsi="仿宋" w:eastAsia="仿宋" w:cs="Times New Roman"/>
          <w:color w:val="auto"/>
          <w:sz w:val="32"/>
          <w:szCs w:val="32"/>
          <w:u w:val="none"/>
        </w:rPr>
        <w:t>《基金已投或备投</w:t>
      </w:r>
      <w:r>
        <w:rPr>
          <w:rFonts w:ascii="Times New Roman" w:hAnsi="仿宋" w:eastAsia="仿宋" w:cs="Times New Roman"/>
          <w:bCs w:val="0"/>
          <w:color w:val="auto"/>
          <w:sz w:val="32"/>
          <w:szCs w:val="32"/>
          <w:u w:val="none"/>
        </w:rPr>
        <w:t>项目情况</w:t>
      </w:r>
      <w:r>
        <w:rPr>
          <w:rFonts w:hint="eastAsia" w:ascii="Times New Roman" w:hAnsi="仿宋" w:eastAsia="仿宋" w:cs="Times New Roman"/>
          <w:bCs w:val="0"/>
          <w:color w:val="auto"/>
          <w:sz w:val="32"/>
          <w:szCs w:val="32"/>
          <w:u w:val="none"/>
        </w:rPr>
        <w:t>表》</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ascii="Times New Roman" w:hAnsi="仿宋" w:eastAsia="仿宋" w:cs="Times New Roman"/>
          <w:color w:val="auto"/>
          <w:sz w:val="32"/>
          <w:szCs w:val="32"/>
          <w:u w:val="none"/>
        </w:rPr>
        <w:t>6</w:t>
      </w:r>
      <w:r>
        <w:rPr>
          <w:rFonts w:hint="eastAsia" w:ascii="Times New Roman" w:hAnsi="仿宋" w:eastAsia="仿宋" w:cs="Times New Roman"/>
          <w:sz w:val="32"/>
          <w:szCs w:val="32"/>
        </w:rPr>
        <w:t>.</w:t>
      </w:r>
      <w:r>
        <w:rPr>
          <w:rFonts w:hint="eastAsia" w:ascii="Times New Roman" w:hAnsi="仿宋" w:eastAsia="仿宋" w:cs="Times New Roman"/>
          <w:color w:val="auto"/>
          <w:sz w:val="32"/>
          <w:szCs w:val="32"/>
          <w:u w:val="none"/>
        </w:rPr>
        <w:t>工作委员会提出的其他资料。</w:t>
      </w:r>
    </w:p>
    <w:p>
      <w:pPr>
        <w:pStyle w:val="6"/>
        <w:numPr>
          <w:ilvl w:val="0"/>
          <w:numId w:val="1"/>
        </w:numPr>
        <w:shd w:val="clear" w:color="auto" w:fill="FFFFFF"/>
        <w:spacing w:before="0" w:beforeAutospacing="0" w:after="0" w:afterAutospacing="0" w:line="360" w:lineRule="auto"/>
        <w:ind w:hanging="720" w:firstLineChars="0"/>
        <w:rPr>
          <w:rFonts w:ascii="黑体" w:hAnsi="黑体" w:eastAsia="黑体" w:cs="黑体"/>
          <w:sz w:val="32"/>
          <w:szCs w:val="32"/>
        </w:rPr>
      </w:pPr>
      <w:r>
        <w:rPr>
          <w:rFonts w:hint="eastAsia" w:ascii="黑体" w:hAnsi="黑体" w:eastAsia="黑体" w:cs="黑体"/>
          <w:color w:val="auto"/>
          <w:sz w:val="32"/>
          <w:szCs w:val="32"/>
          <w:u w:val="none"/>
        </w:rPr>
        <w:t>入库机构义务</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ascii="Times New Roman" w:hAnsi="仿宋" w:eastAsia="仿宋" w:cs="Times New Roman"/>
          <w:color w:val="auto"/>
          <w:sz w:val="32"/>
          <w:szCs w:val="32"/>
          <w:u w:val="none"/>
        </w:rPr>
        <w:t>1.</w:t>
      </w:r>
      <w:r>
        <w:rPr>
          <w:rFonts w:hint="eastAsia" w:ascii="Times New Roman" w:hAnsi="仿宋" w:eastAsia="仿宋" w:cs="Times New Roman"/>
          <w:color w:val="auto"/>
          <w:sz w:val="32"/>
          <w:szCs w:val="32"/>
          <w:u w:val="none"/>
        </w:rPr>
        <w:t>申报机构对申报材料的合法性、真实性、有效性、一致性负完全责任。</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ascii="Times New Roman" w:hAnsi="仿宋" w:eastAsia="仿宋" w:cs="Times New Roman"/>
          <w:color w:val="auto"/>
          <w:sz w:val="32"/>
          <w:szCs w:val="32"/>
          <w:u w:val="none"/>
        </w:rPr>
        <w:t>2.</w:t>
      </w:r>
      <w:r>
        <w:rPr>
          <w:rFonts w:hint="eastAsia" w:ascii="Times New Roman" w:hAnsi="仿宋" w:eastAsia="仿宋" w:cs="Times New Roman"/>
          <w:color w:val="auto"/>
          <w:sz w:val="32"/>
          <w:szCs w:val="32"/>
          <w:u w:val="none"/>
        </w:rPr>
        <w:t>保持定期沟通，配合更新最新动态。</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ascii="Times New Roman" w:hAnsi="仿宋" w:eastAsia="仿宋" w:cs="Times New Roman"/>
          <w:color w:val="auto"/>
          <w:sz w:val="32"/>
          <w:szCs w:val="32"/>
          <w:u w:val="none"/>
        </w:rPr>
        <w:t>3.</w:t>
      </w:r>
      <w:r>
        <w:rPr>
          <w:rFonts w:hint="eastAsia" w:ascii="Times New Roman" w:hAnsi="仿宋" w:eastAsia="仿宋" w:cs="Times New Roman"/>
          <w:color w:val="auto"/>
          <w:sz w:val="32"/>
          <w:szCs w:val="32"/>
          <w:u w:val="none"/>
        </w:rPr>
        <w:t>入库机构有下列情形之一的，取消其入库资格：</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color w:val="auto"/>
          <w:sz w:val="32"/>
          <w:szCs w:val="32"/>
          <w:u w:val="none"/>
        </w:rPr>
        <w:t>（</w:t>
      </w:r>
      <w:r>
        <w:rPr>
          <w:rFonts w:ascii="Times New Roman" w:hAnsi="仿宋" w:eastAsia="仿宋" w:cs="Times New Roman"/>
          <w:color w:val="auto"/>
          <w:sz w:val="32"/>
          <w:szCs w:val="32"/>
          <w:u w:val="none"/>
        </w:rPr>
        <w:t>1</w:t>
      </w:r>
      <w:r>
        <w:rPr>
          <w:rFonts w:hint="eastAsia" w:ascii="Times New Roman" w:hAnsi="仿宋" w:eastAsia="仿宋" w:cs="Times New Roman"/>
          <w:color w:val="auto"/>
          <w:sz w:val="32"/>
          <w:szCs w:val="32"/>
          <w:u w:val="none"/>
        </w:rPr>
        <w:t>）在申请过程中提供虚假信息资料的；</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color w:val="auto"/>
          <w:sz w:val="32"/>
          <w:szCs w:val="32"/>
          <w:u w:val="none"/>
        </w:rPr>
        <w:t>（</w:t>
      </w:r>
      <w:r>
        <w:rPr>
          <w:rFonts w:ascii="Times New Roman" w:hAnsi="仿宋" w:eastAsia="仿宋" w:cs="Times New Roman"/>
          <w:color w:val="auto"/>
          <w:sz w:val="32"/>
          <w:szCs w:val="32"/>
          <w:u w:val="none"/>
        </w:rPr>
        <w:t>2</w:t>
      </w:r>
      <w:r>
        <w:rPr>
          <w:rFonts w:hint="eastAsia" w:ascii="Times New Roman" w:hAnsi="仿宋" w:eastAsia="仿宋" w:cs="Times New Roman"/>
          <w:color w:val="auto"/>
          <w:sz w:val="32"/>
          <w:szCs w:val="32"/>
          <w:u w:val="none"/>
        </w:rPr>
        <w:t>）存在违法行为，或由于产生风险或造成不良影响受到有关部门处罚的；</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color w:val="auto"/>
          <w:sz w:val="32"/>
          <w:szCs w:val="32"/>
          <w:u w:val="none"/>
        </w:rPr>
        <w:t>（</w:t>
      </w:r>
      <w:r>
        <w:rPr>
          <w:rFonts w:ascii="Times New Roman" w:hAnsi="仿宋" w:eastAsia="仿宋" w:cs="Times New Roman"/>
          <w:color w:val="auto"/>
          <w:sz w:val="32"/>
          <w:szCs w:val="32"/>
          <w:u w:val="none"/>
        </w:rPr>
        <w:t>3</w:t>
      </w:r>
      <w:r>
        <w:rPr>
          <w:rFonts w:hint="eastAsia" w:ascii="Times New Roman" w:hAnsi="仿宋" w:eastAsia="仿宋" w:cs="Times New Roman"/>
          <w:color w:val="auto"/>
          <w:sz w:val="32"/>
          <w:szCs w:val="32"/>
          <w:u w:val="none"/>
        </w:rPr>
        <w:t>）涉及行业负面消息经查实的；</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color w:val="auto"/>
          <w:sz w:val="32"/>
          <w:szCs w:val="32"/>
          <w:u w:val="none"/>
        </w:rPr>
        <w:t>（</w:t>
      </w:r>
      <w:r>
        <w:rPr>
          <w:rFonts w:ascii="Times New Roman" w:hAnsi="仿宋" w:eastAsia="仿宋" w:cs="Times New Roman"/>
          <w:color w:val="auto"/>
          <w:sz w:val="32"/>
          <w:szCs w:val="32"/>
          <w:u w:val="none"/>
        </w:rPr>
        <w:t>4</w:t>
      </w:r>
      <w:r>
        <w:rPr>
          <w:rFonts w:hint="eastAsia" w:ascii="Times New Roman" w:hAnsi="仿宋" w:eastAsia="仿宋" w:cs="Times New Roman"/>
          <w:color w:val="auto"/>
          <w:sz w:val="32"/>
          <w:szCs w:val="32"/>
          <w:u w:val="none"/>
        </w:rPr>
        <w:t>）无法配合定期更新机构相关信息，保持动态更新，影响后续基金库维护工作的。</w:t>
      </w:r>
    </w:p>
    <w:p>
      <w:pPr>
        <w:pStyle w:val="6"/>
        <w:numPr>
          <w:ilvl w:val="0"/>
          <w:numId w:val="1"/>
        </w:numPr>
        <w:shd w:val="clear" w:color="auto" w:fill="FFFFFF"/>
        <w:spacing w:before="0" w:beforeAutospacing="0" w:after="0" w:afterAutospacing="0" w:line="360" w:lineRule="auto"/>
        <w:ind w:hanging="720" w:firstLineChars="0"/>
        <w:rPr>
          <w:rFonts w:ascii="黑体" w:hAnsi="黑体" w:eastAsia="黑体" w:cs="黑体"/>
          <w:sz w:val="32"/>
          <w:szCs w:val="32"/>
        </w:rPr>
      </w:pPr>
      <w:r>
        <w:rPr>
          <w:rFonts w:hint="eastAsia" w:ascii="黑体" w:hAnsi="黑体" w:eastAsia="黑体" w:cs="黑体"/>
          <w:color w:val="auto"/>
          <w:sz w:val="32"/>
          <w:szCs w:val="32"/>
          <w:u w:val="none"/>
        </w:rPr>
        <w:t>备案登记档案管理</w:t>
      </w:r>
    </w:p>
    <w:p>
      <w:pPr>
        <w:pStyle w:val="6"/>
        <w:shd w:val="clear" w:color="auto" w:fill="FFFFFF"/>
        <w:spacing w:before="0" w:beforeAutospacing="0" w:after="0" w:afterAutospacing="0" w:line="360" w:lineRule="auto"/>
        <w:ind w:firstLine="640" w:firstLineChars="200"/>
        <w:rPr>
          <w:rFonts w:ascii="Times New Roman" w:hAnsi="仿宋" w:eastAsia="仿宋" w:cs="Times New Roman"/>
          <w:sz w:val="32"/>
          <w:szCs w:val="32"/>
        </w:rPr>
      </w:pPr>
      <w:r>
        <w:rPr>
          <w:rFonts w:hint="eastAsia" w:ascii="Times New Roman" w:hAnsi="仿宋" w:eastAsia="仿宋" w:cs="Times New Roman"/>
          <w:sz w:val="32"/>
          <w:szCs w:val="32"/>
        </w:rPr>
        <w:t>工作</w:t>
      </w:r>
      <w:r>
        <w:rPr>
          <w:rFonts w:hint="eastAsia" w:ascii="Times New Roman" w:hAnsi="仿宋" w:eastAsia="仿宋" w:cs="Times New Roman"/>
          <w:color w:val="auto"/>
          <w:sz w:val="32"/>
          <w:szCs w:val="32"/>
          <w:u w:val="none"/>
        </w:rPr>
        <w:t>委员会对入库机构建立备案登记工作台账，</w:t>
      </w:r>
      <w:r>
        <w:rPr>
          <w:rFonts w:hint="eastAsia" w:ascii="Times New Roman" w:hAnsi="仿宋" w:eastAsia="仿宋" w:cs="Times New Roman"/>
          <w:sz w:val="32"/>
          <w:szCs w:val="32"/>
        </w:rPr>
        <w:t>对其登记入库及后续信息更新、发展动态等</w:t>
      </w:r>
      <w:r>
        <w:rPr>
          <w:rFonts w:hint="eastAsia" w:ascii="Times New Roman" w:hAnsi="仿宋" w:eastAsia="仿宋" w:cs="Times New Roman"/>
          <w:color w:val="auto"/>
          <w:sz w:val="32"/>
          <w:szCs w:val="32"/>
          <w:u w:val="none"/>
        </w:rPr>
        <w:t>情况</w:t>
      </w:r>
      <w:r>
        <w:rPr>
          <w:rFonts w:hint="eastAsia" w:ascii="Times New Roman" w:hAnsi="仿宋" w:eastAsia="仿宋" w:cs="Times New Roman"/>
          <w:sz w:val="32"/>
          <w:szCs w:val="32"/>
        </w:rPr>
        <w:t>进行登记</w:t>
      </w:r>
      <w:r>
        <w:rPr>
          <w:rFonts w:hint="eastAsia" w:ascii="Times New Roman" w:hAnsi="仿宋" w:eastAsia="仿宋" w:cs="Times New Roman"/>
          <w:color w:val="auto"/>
          <w:sz w:val="32"/>
          <w:szCs w:val="32"/>
          <w:u w:val="none"/>
        </w:rPr>
        <w:t>。台账资料和申报材料由工作委员会成员单位</w:t>
      </w:r>
      <w:r>
        <w:rPr>
          <w:rFonts w:hint="eastAsia" w:ascii="Times New Roman" w:hAnsi="仿宋" w:eastAsia="仿宋" w:cs="Times New Roman"/>
          <w:sz w:val="32"/>
          <w:szCs w:val="32"/>
        </w:rPr>
        <w:t>各</w:t>
      </w:r>
      <w:r>
        <w:rPr>
          <w:rFonts w:hint="eastAsia" w:ascii="Times New Roman" w:hAnsi="仿宋" w:eastAsia="仿宋" w:cs="Times New Roman"/>
          <w:color w:val="auto"/>
          <w:sz w:val="32"/>
          <w:szCs w:val="32"/>
          <w:u w:val="none"/>
        </w:rPr>
        <w:t>留存一份。</w:t>
      </w:r>
    </w:p>
    <w:p>
      <w:pPr>
        <w:pStyle w:val="6"/>
        <w:shd w:val="clear" w:color="auto" w:fill="FFFFFF"/>
        <w:spacing w:before="0" w:beforeAutospacing="0" w:after="0" w:afterAutospacing="0" w:line="360" w:lineRule="auto"/>
        <w:ind w:firstLine="640" w:firstLineChars="200"/>
        <w:rPr>
          <w:rFonts w:ascii="黑体" w:hAnsi="黑体" w:eastAsia="黑体" w:cs="黑体"/>
          <w:sz w:val="32"/>
          <w:szCs w:val="32"/>
        </w:rPr>
      </w:pPr>
      <w:r>
        <w:rPr>
          <w:rFonts w:hint="eastAsia" w:ascii="黑体" w:hAnsi="黑体" w:eastAsia="黑体" w:cs="黑体"/>
          <w:sz w:val="32"/>
          <w:szCs w:val="32"/>
        </w:rPr>
        <w:t>九、</w:t>
      </w:r>
      <w:r>
        <w:rPr>
          <w:rFonts w:hint="eastAsia" w:ascii="黑体" w:hAnsi="黑体" w:eastAsia="黑体" w:cs="黑体"/>
          <w:color w:val="auto"/>
          <w:sz w:val="32"/>
          <w:szCs w:val="32"/>
          <w:u w:val="none"/>
        </w:rPr>
        <w:t>本办法由泉州市产业引导优选合作</w:t>
      </w:r>
      <w:r>
        <w:rPr>
          <w:rFonts w:ascii="黑体" w:hAnsi="黑体" w:eastAsia="黑体" w:cs="黑体"/>
          <w:color w:val="auto"/>
          <w:sz w:val="32"/>
          <w:szCs w:val="32"/>
          <w:u w:val="none"/>
        </w:rPr>
        <w:t>基金</w:t>
      </w:r>
      <w:r>
        <w:rPr>
          <w:rFonts w:hint="eastAsia" w:ascii="黑体" w:hAnsi="黑体" w:eastAsia="黑体" w:cs="黑体"/>
          <w:color w:val="auto"/>
          <w:sz w:val="32"/>
          <w:szCs w:val="32"/>
          <w:u w:val="none"/>
        </w:rPr>
        <w:t>资源</w:t>
      </w:r>
      <w:r>
        <w:rPr>
          <w:rFonts w:ascii="黑体" w:hAnsi="黑体" w:eastAsia="黑体" w:cs="黑体"/>
          <w:color w:val="auto"/>
          <w:sz w:val="32"/>
          <w:szCs w:val="32"/>
          <w:u w:val="none"/>
        </w:rPr>
        <w:t>库</w:t>
      </w:r>
      <w:r>
        <w:rPr>
          <w:rFonts w:hint="eastAsia" w:ascii="黑体" w:hAnsi="黑体" w:eastAsia="黑体" w:cs="黑体"/>
          <w:color w:val="auto"/>
          <w:sz w:val="32"/>
          <w:szCs w:val="32"/>
          <w:u w:val="none"/>
        </w:rPr>
        <w:t>工作委员会负责解释。</w:t>
      </w:r>
    </w:p>
    <w:p>
      <w:pPr>
        <w:pStyle w:val="6"/>
        <w:shd w:val="clear" w:color="auto" w:fill="FFFFFF"/>
        <w:spacing w:before="0" w:beforeAutospacing="0" w:after="0" w:afterAutospacing="0" w:line="360" w:lineRule="auto"/>
        <w:ind w:firstLine="640" w:firstLineChars="200"/>
        <w:rPr>
          <w:rFonts w:ascii="黑体" w:hAnsi="黑体" w:eastAsia="黑体" w:cs="黑体"/>
          <w:sz w:val="32"/>
          <w:szCs w:val="32"/>
        </w:rPr>
      </w:pPr>
      <w:r>
        <w:rPr>
          <w:rFonts w:hint="eastAsia" w:ascii="黑体" w:hAnsi="黑体" w:eastAsia="黑体" w:cs="黑体"/>
          <w:color w:val="auto"/>
          <w:sz w:val="32"/>
          <w:szCs w:val="32"/>
          <w:u w:val="none"/>
        </w:rPr>
        <w:t>十、本办法自发布之日起施行。</w:t>
      </w:r>
    </w:p>
    <w:p>
      <w:pPr>
        <w:pStyle w:val="6"/>
        <w:shd w:val="clear" w:color="auto" w:fill="FFFFFF"/>
        <w:spacing w:before="0" w:beforeAutospacing="0" w:after="0" w:afterAutospacing="0" w:line="360" w:lineRule="auto"/>
        <w:ind w:firstLine="640" w:firstLineChars="200"/>
        <w:rPr>
          <w:rFonts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736143"/>
      <w:docPartObj>
        <w:docPartGallery w:val="autotext"/>
      </w:docPartObj>
    </w:sdtPr>
    <w:sdtContent>
      <w:p>
        <w:pPr>
          <w:pStyle w:val="4"/>
          <w:jc w:val="right"/>
        </w:pPr>
        <w:r>
          <w:fldChar w:fldCharType="begin"/>
        </w:r>
        <w:r>
          <w:instrText xml:space="preserve"> PAGE   \* MERGEFORMAT </w:instrText>
        </w:r>
        <w:r>
          <w:fldChar w:fldCharType="separate"/>
        </w:r>
        <w:r>
          <w:rPr>
            <w:lang w:val="zh-CN"/>
          </w:rPr>
          <w:t>6</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B04F1"/>
    <w:multiLevelType w:val="multilevel"/>
    <w:tmpl w:val="3A5B04F1"/>
    <w:lvl w:ilvl="0" w:tentative="0">
      <w:start w:val="1"/>
      <w:numFmt w:val="japaneseCounting"/>
      <w:lvlText w:val="%1、"/>
      <w:lvlJc w:val="left"/>
      <w:pPr>
        <w:ind w:left="1360" w:hanging="720"/>
      </w:pPr>
      <w:rPr>
        <w:rFonts w:hint="eastAsia"/>
      </w:rPr>
    </w:lvl>
    <w:lvl w:ilvl="1" w:tentative="0">
      <w:start w:val="1"/>
      <w:numFmt w:val="lowerLetter"/>
      <w:lvlText w:val="%2)"/>
      <w:lvlJc w:val="left"/>
      <w:pPr>
        <w:ind w:left="1600" w:hanging="480"/>
      </w:pPr>
    </w:lvl>
    <w:lvl w:ilvl="2" w:tentative="0">
      <w:start w:val="1"/>
      <w:numFmt w:val="lowerRoman"/>
      <w:lvlText w:val="%3."/>
      <w:lvlJc w:val="right"/>
      <w:pPr>
        <w:ind w:left="2080" w:hanging="480"/>
      </w:pPr>
    </w:lvl>
    <w:lvl w:ilvl="3" w:tentative="0">
      <w:start w:val="1"/>
      <w:numFmt w:val="decimal"/>
      <w:lvlText w:val="%4."/>
      <w:lvlJc w:val="left"/>
      <w:pPr>
        <w:ind w:left="2560" w:hanging="480"/>
      </w:pPr>
    </w:lvl>
    <w:lvl w:ilvl="4" w:tentative="0">
      <w:start w:val="1"/>
      <w:numFmt w:val="lowerLetter"/>
      <w:lvlText w:val="%5)"/>
      <w:lvlJc w:val="left"/>
      <w:pPr>
        <w:ind w:left="3040" w:hanging="480"/>
      </w:pPr>
    </w:lvl>
    <w:lvl w:ilvl="5" w:tentative="0">
      <w:start w:val="1"/>
      <w:numFmt w:val="lowerRoman"/>
      <w:lvlText w:val="%6."/>
      <w:lvlJc w:val="right"/>
      <w:pPr>
        <w:ind w:left="3520" w:hanging="480"/>
      </w:pPr>
    </w:lvl>
    <w:lvl w:ilvl="6" w:tentative="0">
      <w:start w:val="1"/>
      <w:numFmt w:val="decimal"/>
      <w:lvlText w:val="%7."/>
      <w:lvlJc w:val="left"/>
      <w:pPr>
        <w:ind w:left="4000" w:hanging="480"/>
      </w:pPr>
    </w:lvl>
    <w:lvl w:ilvl="7" w:tentative="0">
      <w:start w:val="1"/>
      <w:numFmt w:val="lowerLetter"/>
      <w:lvlText w:val="%8)"/>
      <w:lvlJc w:val="left"/>
      <w:pPr>
        <w:ind w:left="4480" w:hanging="480"/>
      </w:pPr>
    </w:lvl>
    <w:lvl w:ilvl="8" w:tentative="0">
      <w:start w:val="1"/>
      <w:numFmt w:val="lowerRoman"/>
      <w:lvlText w:val="%9."/>
      <w:lvlJc w:val="right"/>
      <w:pPr>
        <w:ind w:left="49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09F0"/>
    <w:rsid w:val="00002849"/>
    <w:rsid w:val="00045782"/>
    <w:rsid w:val="00046552"/>
    <w:rsid w:val="00082935"/>
    <w:rsid w:val="000C4669"/>
    <w:rsid w:val="000D7ADD"/>
    <w:rsid w:val="000F2292"/>
    <w:rsid w:val="000F301B"/>
    <w:rsid w:val="00135E95"/>
    <w:rsid w:val="001451D0"/>
    <w:rsid w:val="001821CA"/>
    <w:rsid w:val="00192CE6"/>
    <w:rsid w:val="001B6BC2"/>
    <w:rsid w:val="001F09F0"/>
    <w:rsid w:val="002239DE"/>
    <w:rsid w:val="0022601B"/>
    <w:rsid w:val="00237C5E"/>
    <w:rsid w:val="00274F81"/>
    <w:rsid w:val="00294034"/>
    <w:rsid w:val="002A2326"/>
    <w:rsid w:val="002A4C6B"/>
    <w:rsid w:val="002D1CB0"/>
    <w:rsid w:val="00336357"/>
    <w:rsid w:val="00353855"/>
    <w:rsid w:val="003A493A"/>
    <w:rsid w:val="003D4427"/>
    <w:rsid w:val="0040744D"/>
    <w:rsid w:val="0043768A"/>
    <w:rsid w:val="004A01D4"/>
    <w:rsid w:val="004A2A73"/>
    <w:rsid w:val="004E1E78"/>
    <w:rsid w:val="00505CD7"/>
    <w:rsid w:val="00524CD6"/>
    <w:rsid w:val="0055105A"/>
    <w:rsid w:val="00576C39"/>
    <w:rsid w:val="005B046A"/>
    <w:rsid w:val="005E3C3E"/>
    <w:rsid w:val="006011DF"/>
    <w:rsid w:val="00662226"/>
    <w:rsid w:val="006837DD"/>
    <w:rsid w:val="00705CE6"/>
    <w:rsid w:val="007427BB"/>
    <w:rsid w:val="00760B6E"/>
    <w:rsid w:val="00777917"/>
    <w:rsid w:val="007D534A"/>
    <w:rsid w:val="007F63CD"/>
    <w:rsid w:val="008009AC"/>
    <w:rsid w:val="00805B86"/>
    <w:rsid w:val="00807547"/>
    <w:rsid w:val="00816CFB"/>
    <w:rsid w:val="008561F7"/>
    <w:rsid w:val="0087422C"/>
    <w:rsid w:val="00875931"/>
    <w:rsid w:val="00887CBF"/>
    <w:rsid w:val="008B2F56"/>
    <w:rsid w:val="008B4BEB"/>
    <w:rsid w:val="008E1176"/>
    <w:rsid w:val="008F5281"/>
    <w:rsid w:val="00985149"/>
    <w:rsid w:val="00995019"/>
    <w:rsid w:val="00A17421"/>
    <w:rsid w:val="00A31732"/>
    <w:rsid w:val="00A378FD"/>
    <w:rsid w:val="00A93229"/>
    <w:rsid w:val="00B25A26"/>
    <w:rsid w:val="00B662F6"/>
    <w:rsid w:val="00B86F06"/>
    <w:rsid w:val="00B9654F"/>
    <w:rsid w:val="00C50B62"/>
    <w:rsid w:val="00CC3256"/>
    <w:rsid w:val="00CF2EEC"/>
    <w:rsid w:val="00CF3249"/>
    <w:rsid w:val="00CF4EC6"/>
    <w:rsid w:val="00D3699C"/>
    <w:rsid w:val="00D3721A"/>
    <w:rsid w:val="00D51B79"/>
    <w:rsid w:val="00DA60C9"/>
    <w:rsid w:val="00DC5650"/>
    <w:rsid w:val="00DF0D85"/>
    <w:rsid w:val="00E223D2"/>
    <w:rsid w:val="00E24384"/>
    <w:rsid w:val="00E76B5F"/>
    <w:rsid w:val="00E76D3F"/>
    <w:rsid w:val="00E864D3"/>
    <w:rsid w:val="00EA2BC6"/>
    <w:rsid w:val="00EA4345"/>
    <w:rsid w:val="00EB4073"/>
    <w:rsid w:val="00EE45EF"/>
    <w:rsid w:val="00EE4D77"/>
    <w:rsid w:val="00EE72F5"/>
    <w:rsid w:val="00F12EB8"/>
    <w:rsid w:val="00F248CA"/>
    <w:rsid w:val="00F345F8"/>
    <w:rsid w:val="00F93545"/>
    <w:rsid w:val="00FE72E5"/>
    <w:rsid w:val="11F2033E"/>
    <w:rsid w:val="168479E9"/>
    <w:rsid w:val="17185980"/>
    <w:rsid w:val="1B3D374B"/>
    <w:rsid w:val="1D6E4E94"/>
    <w:rsid w:val="24AD53F9"/>
    <w:rsid w:val="3E1E5461"/>
    <w:rsid w:val="40A64523"/>
    <w:rsid w:val="44F04B10"/>
    <w:rsid w:val="4E5E3FE5"/>
    <w:rsid w:val="5D805523"/>
    <w:rsid w:val="7B8E610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center"/>
    </w:pPr>
    <w:rPr>
      <w:rFonts w:ascii="Times New Roman" w:hAnsi="Times New Roman" w:eastAsia="方正小标宋简体" w:cs="Times New Roman"/>
      <w:spacing w:val="100"/>
      <w:kern w:val="2"/>
      <w:sz w:val="44"/>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unhideWhenUsed/>
    <w:qFormat/>
    <w:uiPriority w:val="99"/>
    <w:pPr>
      <w:jc w:val="left"/>
    </w:pPr>
  </w:style>
  <w:style w:type="paragraph" w:styleId="3">
    <w:name w:val="Balloon Text"/>
    <w:basedOn w:val="1"/>
    <w:link w:val="19"/>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spacing w:val="0"/>
      <w:kern w:val="0"/>
      <w:sz w:val="24"/>
    </w:rPr>
  </w:style>
  <w:style w:type="paragraph" w:styleId="7">
    <w:name w:val="annotation subject"/>
    <w:basedOn w:val="2"/>
    <w:next w:val="2"/>
    <w:link w:val="18"/>
    <w:semiHidden/>
    <w:unhideWhenUsed/>
    <w:qFormat/>
    <w:uiPriority w:val="99"/>
    <w:rPr>
      <w:b/>
      <w:bCs/>
    </w:rPr>
  </w:style>
  <w:style w:type="character" w:styleId="10">
    <w:name w:val="Strong"/>
    <w:basedOn w:val="9"/>
    <w:qFormat/>
    <w:uiPriority w:val="22"/>
    <w:rPr>
      <w:b/>
      <w:bCs/>
    </w:rPr>
  </w:style>
  <w:style w:type="character" w:styleId="11">
    <w:name w:val="page number"/>
    <w:basedOn w:val="9"/>
    <w:unhideWhenUsed/>
    <w:qFormat/>
    <w:uiPriority w:val="99"/>
  </w:style>
  <w:style w:type="character" w:styleId="12">
    <w:name w:val="Hyperlink"/>
    <w:basedOn w:val="9"/>
    <w:semiHidden/>
    <w:unhideWhenUsed/>
    <w:qFormat/>
    <w:uiPriority w:val="99"/>
    <w:rPr>
      <w:color w:val="0000FF"/>
      <w:u w:val="single"/>
    </w:rPr>
  </w:style>
  <w:style w:type="character" w:styleId="13">
    <w:name w:val="annotation reference"/>
    <w:basedOn w:val="9"/>
    <w:semiHidden/>
    <w:unhideWhenUsed/>
    <w:qFormat/>
    <w:uiPriority w:val="99"/>
    <w:rPr>
      <w:sz w:val="21"/>
      <w:szCs w:val="21"/>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页眉 Char"/>
    <w:basedOn w:val="9"/>
    <w:link w:val="5"/>
    <w:qFormat/>
    <w:uiPriority w:val="99"/>
    <w:rPr>
      <w:rFonts w:eastAsia="方正小标宋简体"/>
      <w:spacing w:val="100"/>
      <w:kern w:val="2"/>
      <w:sz w:val="18"/>
      <w:szCs w:val="18"/>
    </w:rPr>
  </w:style>
  <w:style w:type="character" w:customStyle="1" w:styleId="16">
    <w:name w:val="页脚 Char"/>
    <w:basedOn w:val="9"/>
    <w:link w:val="4"/>
    <w:qFormat/>
    <w:uiPriority w:val="99"/>
    <w:rPr>
      <w:rFonts w:eastAsia="方正小标宋简体"/>
      <w:spacing w:val="100"/>
      <w:kern w:val="2"/>
      <w:sz w:val="18"/>
      <w:szCs w:val="18"/>
    </w:rPr>
  </w:style>
  <w:style w:type="character" w:customStyle="1" w:styleId="17">
    <w:name w:val="批注文字 Char"/>
    <w:basedOn w:val="9"/>
    <w:link w:val="2"/>
    <w:qFormat/>
    <w:uiPriority w:val="99"/>
    <w:rPr>
      <w:rFonts w:eastAsia="方正小标宋简体"/>
      <w:spacing w:val="100"/>
      <w:kern w:val="2"/>
      <w:sz w:val="44"/>
      <w:szCs w:val="24"/>
    </w:rPr>
  </w:style>
  <w:style w:type="character" w:customStyle="1" w:styleId="18">
    <w:name w:val="批注主题 Char"/>
    <w:basedOn w:val="17"/>
    <w:link w:val="7"/>
    <w:semiHidden/>
    <w:qFormat/>
    <w:uiPriority w:val="99"/>
    <w:rPr>
      <w:rFonts w:eastAsia="方正小标宋简体"/>
      <w:b/>
      <w:bCs/>
      <w:spacing w:val="100"/>
      <w:kern w:val="2"/>
      <w:sz w:val="44"/>
      <w:szCs w:val="24"/>
    </w:rPr>
  </w:style>
  <w:style w:type="character" w:customStyle="1" w:styleId="19">
    <w:name w:val="批注框文本 Char"/>
    <w:basedOn w:val="9"/>
    <w:link w:val="3"/>
    <w:semiHidden/>
    <w:qFormat/>
    <w:uiPriority w:val="99"/>
    <w:rPr>
      <w:rFonts w:eastAsia="方正小标宋简体"/>
      <w:spacing w:val="100"/>
      <w:kern w:val="2"/>
      <w:sz w:val="18"/>
      <w:szCs w:val="18"/>
    </w:rPr>
  </w:style>
  <w:style w:type="paragraph" w:customStyle="1" w:styleId="20">
    <w:name w:val="Revision"/>
    <w:hidden/>
    <w:unhideWhenUsed/>
    <w:qFormat/>
    <w:uiPriority w:val="99"/>
    <w:rPr>
      <w:rFonts w:ascii="Times New Roman" w:hAnsi="Times New Roman" w:eastAsia="方正小标宋简体" w:cs="Times New Roman"/>
      <w:spacing w:val="100"/>
      <w:kern w:val="2"/>
      <w:sz w:val="4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667</Words>
  <Characters>3802</Characters>
  <Lines>31</Lines>
  <Paragraphs>8</Paragraphs>
  <TotalTime>25</TotalTime>
  <ScaleCrop>false</ScaleCrop>
  <LinksUpToDate>false</LinksUpToDate>
  <CharactersWithSpaces>4461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2020-06-01T10:41:00Z</dcterms:created>
  <dc:creator>PC</dc:creator>
  <cp:lastModifiedBy>枢子</cp:lastModifiedBy>
  <cp:lastPrinted>2020-06-05T08:23:00Z</cp:lastPrinted>
  <dcterms:modified xsi:type="dcterms:W3CDTF">2020-06-22T02:43:55Z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